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88R2976 SHH-D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H.B.</w:t>
      </w:r>
      <w:r xml:space="preserve">
        <w:t> </w:t>
      </w:r>
      <w:r>
        <w:t xml:space="preserve">No.</w:t>
      </w:r>
      <w:r xml:space="preserve">
        <w:t> </w:t>
      </w:r>
      <w:r>
        <w:t xml:space="preserve">946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spoliation of evidence held for use in a criminal proceeding.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38, Code of Criminal Procedure, is amended by adding Article 38.495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38.495.</w:t>
      </w:r>
      <w:r>
        <w:rPr>
          <w:u w:val="single"/>
        </w:rPr>
        <w:t xml:space="preserve"> </w:t>
      </w:r>
      <w:r>
        <w:rPr>
          <w:u w:val="single"/>
        </w:rPr>
        <w:t xml:space="preserve"> </w:t>
      </w:r>
      <w:r>
        <w:rPr>
          <w:u w:val="single"/>
        </w:rPr>
        <w:t xml:space="preserve">SPOLIATION OF EVIDENCE.  (a) </w:t>
      </w:r>
      <w:r>
        <w:rPr>
          <w:u w:val="single"/>
        </w:rPr>
        <w:t xml:space="preserve"> </w:t>
      </w:r>
      <w:r>
        <w:rPr>
          <w:u w:val="single"/>
        </w:rPr>
        <w:t xml:space="preserve">Except as permitted under other law and subject to Subsection (b), the state shall preserve evidence in the possession, custody, or control of the state and may not permit the destruction, alteration, or loss of that evidence.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to a destruction, alteration, or loss of evidence that reasonably occurs in the course of forensic analysis, as that term is defined by Section 2, Article 38.01.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Subject to Subsection (d), evidence and testimony relating to an allegation that the state, by act or omission, caused the destruction, alteration, or loss of evidence held for use in a criminal proceeding are admissible and may be used by the defendant to make a showing of spoliation of evidence under this article.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determining the admissibility of evidence or testimony relating to an allegation described by Subsection (c), the court shall determine, out of the presence of the jury and by a preponderance of the evidence, whether spoliation of evidence occurred in violation of Subsection (a). </w:t>
      </w:r>
      <w:r>
        <w:rPr>
          <w:u w:val="single"/>
        </w:rPr>
        <w:t xml:space="preserve"> </w:t>
      </w:r>
      <w:r>
        <w:rPr>
          <w:u w:val="single"/>
        </w:rPr>
        <w:t xml:space="preserve">If practicable, the court shall make the determination under this subsection before trial using the procedures under Article 28.01 of this code and Rule 104, Texas Rules of Evidence.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party alleging spoliation of evidence in violation of Subsection (a) is not required to show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actor's sole intent was to wrongfully cause the destruction, alteration, or loss of the evidence;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actions of the actor constituted a criminal offense.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conviction for an offense under Section 37.09, Penal Code, creates a presumption of spoliation of evidence under this article.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it is shown during a proceeding under Subsection (d) that the violation of Subsection (a) was intentional, knowing, reckless, or negligent, at trial the court shall instruct the jury to presume that the destroyed, altered, or lost evidence would have been favorable to the defendant and unfavorable to the state.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it is shown during a proceeding under Subsection (d) that the violation of Subsection (a) was intentional, the court may impose additional sanctions on the state or dismiss any criminal charges with prejudice.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a criminal proceeding that commences on or after the effective date of this Act.  A criminal proceeding that commences before the effective date of this Act is governed by the law in effect on the date the proceeding commenced,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