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88R2981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allotment under the public school finance system for certain students whose parent or legal guardian has been incarcerated.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48, Education Code, is amended by adding Section 48.116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ALLOTMENT FOR STUDENTS WITH INCARCERATED PARENT.  For each student who has a parent or legal guardian who has been incarcerated in a penal institution, as defined by Section 1.07, Penal Code, during the school year for which the allotment is provided, a school district is entitled to an annual allotment equal to the district's basic allotment, or, if applicable, the sum of the basic allotment and the allotment under Section 48.101 to which the district is entitled, multiplied by 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