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88R2988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carcinogenic risk level used in the development of certain environmental remediation benchmarks.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361, Health and Safety Code, is amended by adding Section 361.042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361.042.</w:t>
      </w:r>
      <w:r>
        <w:rPr>
          <w:u w:val="single"/>
        </w:rPr>
        <w:t xml:space="preserve"> </w:t>
      </w:r>
      <w:r>
        <w:rPr>
          <w:u w:val="single"/>
        </w:rPr>
        <w:t xml:space="preserve"> </w:t>
      </w:r>
      <w:r>
        <w:rPr>
          <w:u w:val="single"/>
        </w:rPr>
        <w:t xml:space="preserve">MINIMUM CARCINOGENIC RISK LEVEL.  (a)  In this section, "carcinogenic risk level," "protective concentration level," and "risk-based exposure limit" have the meanings assigned by 30 T.A.C. Section 350.4, as that section existed on January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set each carcinogenic risk level used by the commission in the development of a protective concentration level, risk-based exposure limit, or any other remediation standard used in connection with this chapter or a rule adopted under this chapter, including the Texas Risk Reduction Program (30 T.A.C. Chapter 350) or a similar program established by the commission, at a rate not greater than one in one million.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Commission on Environmental Quality shall adopt or modify any rules necessary to implement the change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