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88R3028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child support obligation of an obligor during the obligor's confinement in jail or prison.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157.162,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may not find a respondent in contempt of court for failure to pay child support if the respondent, or the respondent's attorney if the respondent is confined in jail or prison at the time of the hearing, appears at the hearing and presents credible evidence showing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unpaid child support accrued during the obligor's confinement in a local, state, or federal jail or prison for a period of at least 90 consecutive days, other than confinement: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an offense constituting an act of family violence, as defined by Section 71.004, committed against the obligee or a child covered by the child support order;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resulting from the obligor's failure to comply with a child support order;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obligor did not have sufficient resources available to comply with the child support order during the period of the obligor's confinement.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157.162(d), Family Code, as added by this Act, applies to a hearing to enforce an order in a suit affecting the parent-child relationship that commences on or after the effective date of this Act.  A hearing that commences before the effective date of this Act is governed by the law in effect on the date the hearing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