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959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compensation under the Crime Victims' Compensation Act for certain lost wages.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56B.106(d),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An immediate family member or household member of a deceased victim may not receive more than </w:t>
      </w:r>
      <w:r>
        <w:rPr>
          <w:u w:val="single"/>
        </w:rPr>
        <w:t xml:space="preserve">$5,000</w:t>
      </w:r>
      <w:r>
        <w:t xml:space="preserve"> [</w:t>
      </w:r>
      <w:r>
        <w:rPr>
          <w:strike/>
        </w:rPr>
        <w:t xml:space="preserve">$1,000</w:t>
      </w:r>
      <w:r>
        <w:t xml:space="preserve">] in lost wages as a result of bereavement leave taken by the family or household member.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w:t>
      </w:r>
      <w:r>
        <w:t xml:space="preserve"> </w:t>
      </w:r>
      <w:r>
        <w:t xml:space="preserve">Compensation for criminally injurious conduct occurring before the effective date of this Act is governed by the law in effect on the date the conduct occurred, and the former law is continued in effect for that purpose. </w:t>
      </w:r>
      <w:r>
        <w:t xml:space="preserve"> </w:t>
      </w:r>
      <w:r>
        <w:t xml:space="preserve">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