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88R1435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certain information about classroom and student expenditures in the notice of the budget and proposed tax rate meeting of the board of trustees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a section entitled "Funding for Classroom and Student Expenditures," which 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budgeted by the district for classroom and student expenditures for the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under Paragraph (A) expressed as a percentage of the amount budgeted for the district's total expenditures for the fiscal 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notice of the budget and proposed tax rate meeting of the board of trustees of a school district that is required to be provided on or after the effective date of this Act.</w:t>
      </w:r>
      <w:r xml:space="preserve">
        <w:t> </w:t>
      </w:r>
      <w:r xml:space="preserve">
        <w:t> </w:t>
      </w:r>
      <w:r>
        <w:t xml:space="preserve">Notice of a meeting that is required to be provided before the effective date of this Act is governed by the law in effect when the notice is required to be provided,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