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88R3002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963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money in the identification fee exemption account.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521.4265(c),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may not:</w:t>
      </w:r>
    </w:p>
    <w:p w:rsidR="003F3435" w:rsidRDefault="0032493E">
      <w:pPr>
        <w:spacing w:line="480" w:lineRule="auto"/>
        <w:ind w:firstLine="1440"/>
        <w:jc w:val="both"/>
      </w:pPr>
      <w:r>
        <w:t xml:space="preserve">(1)</w:t>
      </w:r>
      <w:r xml:space="preserve">
        <w:t> </w:t>
      </w:r>
      <w:r xml:space="preserve">
        <w:t> </w:t>
      </w:r>
      <w:r>
        <w:t xml:space="preserve">request a transfer under Subsection (b)(1) if the balance of the account for the fiscal year is less than three times the amount expended in the previous fiscal year for the waivers provided by Sections 521.1015(e)</w:t>
      </w:r>
      <w:r>
        <w:rPr>
          <w:u w:val="single"/>
        </w:rPr>
        <w:t xml:space="preserve">, 521.1016,</w:t>
      </w:r>
      <w:r>
        <w:t xml:space="preserve"> and 521.1811; or</w:t>
      </w:r>
    </w:p>
    <w:p w:rsidR="003F3435" w:rsidRDefault="0032493E">
      <w:pPr>
        <w:spacing w:line="480" w:lineRule="auto"/>
        <w:ind w:firstLine="1440"/>
        <w:jc w:val="both"/>
      </w:pPr>
      <w:r>
        <w:t xml:space="preserve">(2)</w:t>
      </w:r>
      <w:r xml:space="preserve">
        <w:t> </w:t>
      </w:r>
      <w:r xml:space="preserve">
        <w:t> </w:t>
      </w:r>
      <w:r>
        <w:t xml:space="preserve">grant an exemption under Section 521.1015, 521.1016, or 521.1811 if money is not available in the identification fee exemption account to meet the requirements of Subsection (b)(2).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