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88R3923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 Leo-Wilson, Cook</w:t>
      </w:r>
      <w:r xml:space="preserve">
        <w:tab wTab="150" tlc="none" cTlc="0"/>
      </w:r>
      <w:r>
        <w:t xml:space="preserve">H.B.</w:t>
      </w:r>
      <w:r xml:space="preserve">
        <w:t> </w:t>
      </w:r>
      <w:r>
        <w:t xml:space="preserve">No.</w:t>
      </w:r>
      <w:r xml:space="preserve">
        <w:t> </w:t>
      </w:r>
      <w:r>
        <w:t xml:space="preserve">964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sex offender registration requirements to the offense of improper relationship between educator and student.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disabled individual), 21.09 (Bestiality), 21.11 (Indecency with a child), </w:t>
      </w:r>
      <w:r>
        <w:rPr>
          <w:u w:val="single"/>
        </w:rPr>
        <w:t xml:space="preserve">21.12 (Improper relationship between educator and student),</w:t>
      </w:r>
      <w:r>
        <w:t xml:space="preserve"> </w:t>
      </w:r>
      <w:r>
        <w:t xml:space="preserve">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43.04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43.021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or (L),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or</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