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88R2801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966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on classes or programs required to be completed before an inmate is released on parole.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INFORMATION ON CLASSES AND PROGRAMS REQUIRED FOR RELEASE ON PAROLE.  The department shall publish on the department's Internet website the information required under Section 508.056.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508, Government Code, is amended by adding Section 508.056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508.056.</w:t>
      </w:r>
      <w:r>
        <w:rPr>
          <w:u w:val="single"/>
        </w:rPr>
        <w:t xml:space="preserve"> </w:t>
      </w:r>
      <w:r>
        <w:rPr>
          <w:u w:val="single"/>
        </w:rPr>
        <w:t xml:space="preserve"> </w:t>
      </w:r>
      <w:r>
        <w:rPr>
          <w:u w:val="single"/>
        </w:rPr>
        <w:t xml:space="preserve">INFORMATION ON CLASSES AND PROGRAMS REQUIRED FOR RELEASE ON PAROLE.  The board shall publish on the board's Internet website the following information for each class or program that the board requires an inmate to complete before releasing the inmate on parole: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curriculum for the class or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qualifications and relevant certifications of any instructor for the class or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completion rates of the class or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accommodations made for inmates with disabilities and inmates whose primary language is not English to ensure that those inmates are able to fully participate in the class or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methods used to assess inmates for participation in the class or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results of any independent evaluations used by the board when determining whether to require the class or program;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class or program is provided by a private vendor: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on the contract between the department and the private vendor;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vendor's history of providing the class or program at other correctional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