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971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frequency with which the comptroller is required to conduct the school district property value study and the ratio study of an appraisal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403.302(a-1),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comptroller shall conduct a study:</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at least</w:t>
      </w:r>
      <w:r>
        <w:t xml:space="preserve">] every </w:t>
      </w:r>
      <w:r>
        <w:rPr>
          <w:u w:val="single"/>
        </w:rPr>
        <w:t xml:space="preserve">four</w:t>
      </w:r>
      <w:r>
        <w:t xml:space="preserve"> [</w:t>
      </w:r>
      <w:r>
        <w:rPr>
          <w:strike/>
        </w:rPr>
        <w:t xml:space="preserve">two</w:t>
      </w:r>
      <w:r>
        <w:t xml:space="preserve">] years in each school district for which the most recent study resulted in a determination by the comptroller that the school district's local value was valid; and</w:t>
      </w:r>
    </w:p>
    <w:p w:rsidR="003F3435" w:rsidRDefault="0032493E">
      <w:pPr>
        <w:spacing w:line="480" w:lineRule="auto"/>
        <w:ind w:firstLine="1440"/>
        <w:jc w:val="both"/>
      </w:pPr>
      <w:r>
        <w:t xml:space="preserve">(2)</w:t>
      </w:r>
      <w:r xml:space="preserve">
        <w:t> </w:t>
      </w:r>
      <w:r xml:space="preserve">
        <w:t> </w:t>
      </w:r>
      <w:r>
        <w:t xml:space="preserve">each year in a school district for which the most recent study resulted in a determination by the comptroller that the school district's local value was not valid.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5.10(a),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Every four</w:t>
      </w:r>
      <w:r>
        <w:t xml:space="preserve"> [</w:t>
      </w:r>
      <w:r>
        <w:rPr>
          <w:strike/>
        </w:rPr>
        <w:t xml:space="preserve">At least once every two</w:t>
      </w:r>
      <w:r>
        <w:t xml:space="preserve">] years, the comptroller shall conduct a study in each appraisal district to determine the degree of uniformity of and the median level of appraisals by the appraisal district within each major category of property.</w:t>
      </w:r>
      <w:r xml:space="preserve">
        <w:t> </w:t>
      </w:r>
      <w:r xml:space="preserve">
        <w:t> </w:t>
      </w:r>
      <w:r>
        <w:t xml:space="preserve">The comptroller shall publish a report of the findings of the study, including in the report the median levels of appraisal for each major category of property, the coefficient of dispersion around the median level of appraisal for each major category of property, and any other standard statistical measures that the comptroller considers appropriate.</w:t>
      </w:r>
      <w:r xml:space="preserve">
        <w:t> </w:t>
      </w:r>
      <w:r xml:space="preserve">
        <w:t> </w:t>
      </w:r>
      <w:r>
        <w:t xml:space="preserve">In conducting the study, the comptroller shall apply appropriate standard statistical analysis techniques to data collected as part of the study of school district taxable values required by Section 403.302,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study conducted under Section 403.302, Government Code, or Section 5.10, Tax Code, for a year that begins on or after the effective date of this Act.  A study for a year that began before the effective date of this Act is covered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