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982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contracts with certain companies that use certain environmental, social, and governance criteria.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 </w:t>
      </w:r>
      <w:r>
        <w:rPr>
          <w:u w:val="single"/>
        </w:rPr>
        <w:t xml:space="preserve"> </w:t>
      </w:r>
      <w:r>
        <w:rPr>
          <w:u w:val="single"/>
        </w:rPr>
        <w:t xml:space="preserve">PROHIBITION ON CONTRACTS WITH COMPANIES THAT USE PROHIBITED ESG CRITERIA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808.001, except that the term does not include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"Prohibited ESG criteria" means environmental, social, and governance criteria that furthers political policies at the expense of the Texas economy and company shareholders.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PROVISION REQUIRED IN CONTRACT.  (a)  This section applies only 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between a governmental entity and a company with 10 or more full-time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value of $100,000 or more that is to be paid wholly or partly from public funds of the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enter into a contract with a company for goods or services unless the contract contains a written verification from the company that it does not, and will not during the term of the contract, use prohibited ESG criteria to evaluate a business decision or investment strategy.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2278.002, Government Code, as added by this Act, applies only to a contract entered into on or after January 1, 2024.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