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state fiscal biennium beginning before a determination by the commissioner of education under Section 48.255(e), Education Code,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that biennium exceeds the amount of consolidated general revenue appropriations, as defined by Section 316.001, that could be appropriated within the limit on the rate of growth of those appropriations adopted under Section 316.005 for that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except as otherwise provided by this subsection, money deposited to the credit of the fund under Subsection (e) may be appropriated only to the Texas Education Agency for use in providing property tax relief through reduction of the state compression percentage, as defined by Section 48.255, Education Code.  If the amount of money available to be appropriated under this subsection for a state fiscal biennium exceeds the amount of school district maintenance and operations taxes the commissioner of education estimates to be payable for that biennium, the legislature may appropriate the surplus amount for any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