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88R3781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informational materials provided through the alternatives to abortion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2, Health and Safety Code, is amended by adding Chapter 54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ALTERNATIVES TO ABORTION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"alternatives to abortion program" means the program established by the commission to enhance and increase resources that promote childbirth for women facing unplanned pregnancy.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INFORMATIONAL MATERIALS.  (a) </w:t>
      </w:r>
      <w:r>
        <w:rPr>
          <w:u w:val="single"/>
        </w:rPr>
        <w:t xml:space="preserve"> </w:t>
      </w:r>
      <w:r>
        <w:rPr>
          <w:u w:val="single"/>
        </w:rPr>
        <w:t xml:space="preserve">Informational materials provided through the alternatives to abortion program, including lesson curricula and promotional materials, must be medically accurate and scientifically supported.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applies to materials provided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entity contracted by the commission to provide services for the alternatives to abortion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may adopt rules to implement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