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88R15344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Muñoz, Jr.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997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997: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997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to prohibit police or fire department employees from circulating or signing certain employment petitions.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150, Local Government Code, is amended by adding Subchapter Z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Z. MISCELLANEOUS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150.901.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PROHIBIT POLICE OR FIRE DEPARTMENT EMPLOYEES FROM CIRCULATING OR SIGNING CERTAIN PETITIONS.  A municipality may not adopt or enforce a charter provision, ordinance, policy, or other measure that prohibits an employee of the municipality's police or fire department from circulating or signing a petition authorized by Chapter 142, 143, or 174.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997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