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88R17804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the legislature has fulfilled its duty to apportion the state into representative districts at its first regular session after the publication of the Twenty-fourth Decennial Census of the United States, as provided by Section 28,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used to elect members of the Texas House of Representatives in 2022, established by Chapter 1 (H.B. 1), Acts of the 87th Legislature, 3rd Called Session, 2021 (PLANH2316 in the Texas Legislature's redistricting system), are hereby ratified and adopted as the districts used to elect members of the Texas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districts described by Section 2 of this Act apply to the election of the members of the Texas House of Representatives beginning with the primary and general elections in 2024 for members of the 89th Legislature.  This Act does not affect the membership or districts of the Texas House of Representatives of the 88th Texas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