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the legislature has fulfilled its duty to apportion the state into representative districts at its first regular session after the publication of the Twenty-fourth Decennial Census of the United States, as provided by Section 28, Article III,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districts used to elect members of the Texas House of Representatives in 2022, established by Chapter 1 (H.B. 1), Acts of the 87th Legislature, 3rd Called Session, 2021 (PLANH2316 in the Texas Legislature's redistricting system), are hereby ratified and adopted as the districts used to elect members of the Texas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districts described by Section 2 of this Act apply to the election of the members of the Texas House of Representatives beginning with the primary and general elections in 2024 for members of the 89th Legislature.  This Act does not affect the membership or districts of the Texas House of Representatives of the 88th Texas Legislature.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1000 was passed by the House on April 27, 2023, by the following vote:</w:t>
      </w:r>
      <w:r xml:space="preserve">
        <w:t> </w:t>
      </w:r>
      <w:r xml:space="preserve">
        <w:t> </w:t>
      </w:r>
      <w:r>
        <w:t xml:space="preserve">Yeas 87, Nays 59,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1000 was passed by the Senate on May 19, 2023, by the following vote:</w:t>
      </w:r>
      <w:r xml:space="preserve">
        <w:t> </w:t>
      </w:r>
      <w:r xml:space="preserve">
        <w:t> </w:t>
      </w:r>
      <w:r>
        <w:t xml:space="preserve">Yeas 20,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