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88R2596 DIO-F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Price, Buckley, Hinojosa, Allison,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1002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King of Hemphill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membership of a public school concussion oversight team and the removal of a public school student from an interscholastic athletic activity on the basis of a suspected concussion.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38.154, Education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or open-enrollment charter school may include any person licensed under Chapter 201 or 453, Occupations Code, as a member of the district or charter school concussion oversight team, provided that the person meets the training requirement under Subsection (c).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38.156,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38.156.</w:t>
      </w:r>
      <w:r xml:space="preserve">
        <w:t> </w:t>
      </w:r>
      <w:r xml:space="preserve">
        <w:t> </w:t>
      </w:r>
      <w:r>
        <w:t xml:space="preserve">REMOVAL FROM PLAY IN PRACTICE OR COMPETITION FOLLOWING CONCUSSION.  A student shall be removed from an interscholastic athletics practice or competition immediately if one of the following persons believes the student might have sustained a concussion during the practice or competition: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coach;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physician;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licensed health care professional;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person licensed under Chapter 201 </w:t>
      </w:r>
      <w:r>
        <w:rPr>
          <w:u w:val="single"/>
        </w:rPr>
        <w:t xml:space="preserve">or 453</w:t>
      </w:r>
      <w:r>
        <w:t xml:space="preserve">, Occupations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school nurse;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student's parent or guardian or another person with legal authority to make medical decisions for the student.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1002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