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88R5904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Rosenthal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assignment of public school students enrolled in certain school districts to an uncertified teacher.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7.056(e), Education 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Except as provided by Subsection (f), a school campus or district may not receive an exemption or waiver under this section from: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prohibition on conduct that constitutes a criminal offense;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requirement imposed by federal law or rule, including a requirement for special education or bilingual education programs;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requirement, restriction, or prohibition relating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essential knowledge or skills under Section 28.002 or high school graduation requirements under Section 28.025;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public school accountability as provided by Subchapters B, C, D, and J, Chapter 39, and Chapter 39A;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extracurricular activities under Section 33.081 or participation in a University Interscholastic League area, regional, or state competition under Section 33.0812;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health and safety under Chapter 38;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purchasing under Subchapter B, Chapter 44;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elementary school class size limits, except as provided by Section 25.112;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removal of a disruptive student from the classroom under Subchapter A, Chapter 37;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at-risk programs under Subchapter C, Chapter 29;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prekindergarten programs under Subchapter E, Chapter 29;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educator rights and benefits under Subchapters A, C, D, E, F, G, and I, Chapter 21, or under Subchapter A, Chapter 22;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special education programs under Subchapter A, Chapter 29;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bilingual education programs under Subchapter B, Chapter 29;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the requirements for the first day of instruction under Section 25.0811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assignment of a student to a teacher under Section 28.0215, except as provided by Subsection (c) of that section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28, Education Code, is amended by adding Section 28.0215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28.0215.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ASSIGNMENT OF STUDENTS TO TEACHERS.  (a)  This section applies only to a school district with an enrollment of 5,000 or more students.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student in first through sixth grade who attends an elementary school may not be assigned for two consecutive school years to a teacher teaching a subject in the foundation curriculum under Section 28.002(a)(1) who</w:t>
      </w:r>
      <w:r>
        <w:rPr>
          <w:u w:val="single"/>
        </w:rPr>
        <w:t xml:space="preserve"> </w:t>
      </w:r>
      <w:r>
        <w:rPr>
          <w:u w:val="single"/>
        </w:rPr>
        <w:t xml:space="preserve">has less than one year of teaching experience and who</w:t>
      </w:r>
      <w:r>
        <w:rPr>
          <w:u w:val="single"/>
        </w:rPr>
        <w:t xml:space="preserve"> </w:t>
      </w:r>
      <w:r>
        <w:rPr>
          <w:u w:val="single"/>
        </w:rPr>
        <w:t xml:space="preserve">does not hold the appropriate certificate required under Section 21.003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student's parent or other person standing in parental relation to the student and a school counselor or school administrator agree otherwise regarding assignment of the student to the teacher;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assignment of the student to the teacher occurs during the first year a student transfers into a school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grant a waiver from the requirements of this section to a school district if the commissioner finds that extreme circumstances in the district warrant the waiver.  The commissioner may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