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protected expression, intellectual freedom, and viewpoint diversity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51.354, Education Code, is amended to read as follows:</w:t>
      </w: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INSTITUTIONAL RESPONSIBILITY.  In addition to specific responsibilities imposed by this code or other law, each institution of higher education has the general responsibility to [</w:t>
      </w:r>
      <w:r>
        <w:rPr>
          <w:strike/>
        </w:rPr>
        <w:t xml:space="preserve">serve the public and, within the institution's role and mission,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permit the diffusion of</w:t>
      </w:r>
      <w:r>
        <w:t xml:space="preserve"> [</w:t>
      </w:r>
      <w:r>
        <w:rPr>
          <w:strike/>
        </w:rPr>
        <w:t xml:space="preserve">transmit</w:t>
      </w:r>
      <w:r>
        <w:t xml:space="preserve">] culture through general education;</w:t>
      </w:r>
    </w:p>
    <w:p w:rsidR="003F3435" w:rsidRDefault="0032493E">
      <w:pPr>
        <w:spacing w:line="480" w:lineRule="auto"/>
        <w:ind w:firstLine="1440"/>
        <w:jc w:val="both"/>
      </w:pPr>
      <w:r>
        <w:t xml:space="preserve">(2)</w:t>
      </w:r>
      <w:r xml:space="preserve">
        <w:t> </w:t>
      </w:r>
      <w:r xml:space="preserve">
        <w:t> </w:t>
      </w:r>
      <w:r>
        <w:rPr>
          <w:u w:val="single"/>
        </w:rPr>
        <w:t xml:space="preserve">facilitate the discovery, improvement, and dissemination of</w:t>
      </w:r>
      <w:r>
        <w:t xml:space="preserve"> [</w:t>
      </w:r>
      <w:r>
        <w:rPr>
          <w:strike/>
        </w:rPr>
        <w:t xml:space="preserve">extend</w:t>
      </w:r>
      <w:r>
        <w:t xml:space="preserve">] knowledge;</w:t>
      </w:r>
    </w:p>
    <w:p w:rsidR="003F3435" w:rsidRDefault="0032493E">
      <w:pPr>
        <w:spacing w:line="480" w:lineRule="auto"/>
        <w:ind w:firstLine="1440"/>
        <w:jc w:val="both"/>
      </w:pPr>
      <w:r>
        <w:t xml:space="preserve">(3)</w:t>
      </w:r>
      <w:r xml:space="preserve">
        <w:t> </w:t>
      </w:r>
      <w:r xml:space="preserve">
        <w:t> </w:t>
      </w:r>
      <w:r>
        <w:t xml:space="preserve">teach and train students for professions;</w:t>
      </w:r>
    </w:p>
    <w:p w:rsidR="003F3435" w:rsidRDefault="0032493E">
      <w:pPr>
        <w:spacing w:line="480" w:lineRule="auto"/>
        <w:ind w:firstLine="1440"/>
        <w:jc w:val="both"/>
      </w:pPr>
      <w:r>
        <w:t xml:space="preserve">(4)</w:t>
      </w:r>
      <w:r xml:space="preserve">
        <w:t> </w:t>
      </w:r>
      <w:r xml:space="preserve">
        <w:t> </w:t>
      </w:r>
      <w:r>
        <w:t xml:space="preserve">provide for scientific, engineering, medical, and other academic research;</w:t>
      </w:r>
    </w:p>
    <w:p w:rsidR="003F3435" w:rsidRDefault="0032493E">
      <w:pPr>
        <w:spacing w:line="480" w:lineRule="auto"/>
        <w:ind w:firstLine="1440"/>
        <w:jc w:val="both"/>
      </w:pPr>
      <w:r>
        <w:t xml:space="preserve">(5)</w:t>
      </w:r>
      <w:r xml:space="preserve">
        <w:t> </w:t>
      </w:r>
      <w:r xml:space="preserve">
        <w:t> </w:t>
      </w:r>
      <w:r>
        <w:t xml:space="preserve">protect intellectual exploration and academic freedom;</w:t>
      </w:r>
    </w:p>
    <w:p w:rsidR="003F3435" w:rsidRDefault="0032493E">
      <w:pPr>
        <w:spacing w:line="480" w:lineRule="auto"/>
        <w:ind w:firstLine="1440"/>
        <w:jc w:val="both"/>
      </w:pPr>
      <w:r>
        <w:t xml:space="preserve">(6)</w:t>
      </w:r>
      <w:r xml:space="preserve">
        <w:t> </w:t>
      </w:r>
      <w:r xml:space="preserve">
        <w:t> </w:t>
      </w:r>
      <w:r>
        <w:t xml:space="preserve">strive for intellectual excellence;</w:t>
      </w:r>
    </w:p>
    <w:p w:rsidR="003F3435" w:rsidRDefault="0032493E">
      <w:pPr>
        <w:spacing w:line="480" w:lineRule="auto"/>
        <w:ind w:firstLine="1440"/>
        <w:jc w:val="both"/>
      </w:pPr>
      <w:r>
        <w:t xml:space="preserve">(7)</w:t>
      </w:r>
      <w:r xml:space="preserve">
        <w:t> </w:t>
      </w:r>
      <w:r xml:space="preserve">
        <w:t> </w:t>
      </w:r>
      <w:r>
        <w:t xml:space="preserve">provide educational opportunity </w:t>
      </w:r>
      <w:r>
        <w:rPr>
          <w:u w:val="single"/>
        </w:rPr>
        <w:t xml:space="preserve">through</w:t>
      </w:r>
      <w:r>
        <w:t xml:space="preserve"> [</w:t>
      </w:r>
      <w:r>
        <w:rPr>
          <w:strike/>
        </w:rPr>
        <w:t xml:space="preserve">for all who can benefit from</w:t>
      </w:r>
      <w:r>
        <w:t xml:space="preserve">] postsecondary education and training;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provide continuing education opportunities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foster a diversity of viewpoints;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maintain political, social, and cultural neutrality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8, Article I, Texas Constitution, and includes assemblies, protests, speeches, the distribution of written material, the carrying of signs, [</w:t>
      </w:r>
      <w:r>
        <w:rPr>
          <w:strike/>
        </w:rPr>
        <w:t xml:space="preserve">and</w:t>
      </w:r>
      <w:r>
        <w:t xml:space="preserve">] the circulation of petitions</w:t>
      </w:r>
      <w:r>
        <w:rPr>
          <w:u w:val="single"/>
        </w:rPr>
        <w:t xml:space="preserve">, and published or unpublished faculty research, lectures, writings, and commentary</w:t>
      </w:r>
      <w:r>
        <w:t xml:space="preserve">.  The term does not include commercial speech.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51.9315, Education Code, is amended by amending Subsection (f) and adding Subsection (k) to read as follows:</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students' rights and responsibilities regarding expressive activities at the institution.  The policy must:</w:t>
      </w:r>
    </w:p>
    <w:p w:rsidR="003F3435" w:rsidRDefault="0032493E">
      <w:pPr>
        <w:spacing w:line="480" w:lineRule="auto"/>
        <w:ind w:firstLine="1440"/>
        <w:jc w:val="both"/>
      </w:pPr>
      <w:r>
        <w:t xml:space="preserve">(1)</w:t>
      </w:r>
      <w:r xml:space="preserve">
        <w:t> </w:t>
      </w:r>
      <w:r xml:space="preserve">
        <w:t> </w:t>
      </w:r>
      <w:r>
        <w:rPr>
          <w:u w:val="single"/>
        </w:rPr>
        <w:t xml:space="preserve">demonstrate a commitment to intellectual freedom and viewpoint diversity;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funding, promotion, sponsorship, or support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office of diversity, equity, and inclusion;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office that funds, promotes, sponsors, or supports an initiative or formulation of diversity, equity, and inclusion beyond what is necessary to uphold the equal protection of the laws under the Fourteenth Amendment to the United States Constitution;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endorsement or dissuasion of, or interference with, any lifestyle, race, sex, religion, or culture.</w:t>
      </w:r>
    </w:p>
    <w:p w:rsidR="003F3435" w:rsidRDefault="0032493E">
      <w:pPr>
        <w:spacing w:line="480" w:lineRule="auto"/>
        <w:ind w:firstLine="1440"/>
        <w:jc w:val="both"/>
      </w:pPr>
      <w:r>
        <w:rPr>
          <w:u w:val="single"/>
        </w:rPr>
        <w:t xml:space="preserve">(3)</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t xml:space="preserve">any person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Subsection (h), invite speakers to speak on campus;</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establish disciplinary sanctions for students, student organizations, or faculty who unduly interfere with the expressive activities of others on campus;</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be posted on the institution's Internet website.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may bring an action for injunctive relief against an institution of higher education to compel the institution to comply with this section.  If the person prevails in the action, the court shall award reasonable attorney's fees and court costs to the person.  The institution shall pay the fees and costs from the budget of the office of the chief executive officer of the institution or the institution's system,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