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Garcia</w:t>
      </w:r>
      <w:r xml:space="preserve">
        <w:tab wTab="150" tlc="none" cTlc="0"/>
      </w:r>
      <w:r>
        <w:t xml:space="preserve">H.B.</w:t>
      </w:r>
      <w:r xml:space="preserve">
        <w:t> </w:t>
      </w:r>
      <w:r>
        <w:t xml:space="preserve">No.</w:t>
      </w:r>
      <w:r xml:space="preserve">
        <w:t> </w:t>
      </w:r>
      <w:r>
        <w:t xml:space="preserve">1008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suspending the employment of certain persons who provide care to individuals with an intellectual or developmental disability and who are alleged to have engaged in reportable conduct;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531.02485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531.02485.</w:t>
      </w:r>
      <w:r>
        <w:rPr>
          <w:u w:val="single"/>
        </w:rPr>
        <w:t xml:space="preserve"> </w:t>
      </w:r>
      <w:r>
        <w:rPr>
          <w:u w:val="single"/>
        </w:rPr>
        <w:t xml:space="preserve"> </w:t>
      </w:r>
      <w:r>
        <w:rPr>
          <w:u w:val="single"/>
        </w:rPr>
        <w:t xml:space="preserve">SUSPENDING EMPLOYMENT OF CERTAIN RESIDENTIAL CAREGIVERS.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"Consumer-directed service option"</w:t>
      </w:r>
      <w:r>
        <w:rPr>
          <w:u w:val="single"/>
        </w:rPr>
        <w:t xml:space="preserve"> </w:t>
      </w:r>
      <w:r>
        <w:rPr>
          <w:u w:val="single"/>
        </w:rPr>
        <w:t xml:space="preserve">has the meaning assigned by Section 531.051.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"Reportable conduct"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abuse or neglect that causes or may cause death or harm to an individual using the consumer-directed service option or a resident;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sexual abuse of an individual using the consumer-directed service option or a resident;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financial exploitation of an individual using the consumer-directed service option or a resident in an amount of $25 or more;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emotional, verbal, or psychological abuse that causes harm to an individual using the consumer-directed service option or a resident.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"Resident" means an individual residing in a group home or other residential facility who is receiving services from a residential caregiver.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"Residential caregiver" means an individual who provides, through a group home or other residential facility licensed by or operated under the authority of the commission, community-based residential care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not more than four individuals with an intellectual or developmental disability at any time;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a residence other than the home of the individual providing the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Medicaid provider, including a provider providing services under a Section 1915(c) waiver program, who employs or contracts with a residential caregiver to provide community-based residential care services through a group home or other residential facility described by Subsection (a)(4), on receiving notice of the reportable conduct finding, shall immediately suspend the employment or contract of an individual the provider employs or contracts with as a residential caregiver who the commission finds has engaged in reportable conduct while the individual exhausts any applicable appeals process, including informal and formal appeals, pending a final decision by an administrative law judge.  The provider may not reinstate the individual's employment or contract during the course of any appeals process.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commission shall take disciplinary action against a Medicaid provider that violates Subsection (b), including imposing an administrative penalty or vendor hold, terminating a contract or license, or any other disciplinary action the commission determines appropriate.  In determining the appropriate disciplinary action to take against a Medicaid provider under this subsection, the commission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nature and seriousness of the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history of previous violations;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matter justice may require.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253, Health and Safety Code, is amended to read as follows:</w:t>
      </w:r>
    </w:p>
    <w:p w:rsidR="003F3435" w:rsidRDefault="0032493E">
      <w:pPr>
        <w:spacing w:line="480" w:lineRule="auto"/>
        <w:jc w:val="center"/>
      </w:pPr>
      <w:r>
        <w:t xml:space="preserve">CHAPTER 253.  EMPLOYEE MISCONDUCT</w:t>
      </w:r>
      <w:r>
        <w:rPr>
          <w:u w:val="single"/>
        </w:rPr>
        <w:t xml:space="preserve">;</w:t>
      </w:r>
      <w:r>
        <w:t xml:space="preserve"> REGISTRY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253.001(4), Health and Safety Code, is amended to read as follows:</w:t>
      </w:r>
    </w:p>
    <w:p w:rsidR="003F3435" w:rsidRDefault="0032493E">
      <w:pPr>
        <w:spacing w:line="480" w:lineRule="auto"/>
        <w:ind w:firstLine="1440"/>
        <w:jc w:val="both"/>
      </w:pPr>
      <w:r>
        <w:t xml:space="preserve">(4)</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facility:</w:t>
      </w:r>
    </w:p>
    <w:p w:rsidR="003F3435" w:rsidRDefault="0032493E">
      <w:pPr>
        <w:spacing w:line="480" w:lineRule="auto"/>
        <w:ind w:firstLine="2880"/>
        <w:jc w:val="both"/>
      </w:pPr>
      <w:r>
        <w:t xml:space="preserve">(i)</w:t>
      </w:r>
      <w:r xml:space="preserve">
        <w:t> </w:t>
      </w:r>
      <w:r xml:space="preserve">
        <w:t> </w:t>
      </w:r>
      <w:r>
        <w:t xml:space="preserve">licensed by the department; [</w:t>
      </w:r>
      <w:r>
        <w:rPr>
          <w:strike/>
        </w:rPr>
        <w:t xml:space="preserve">or</w:t>
      </w:r>
      <w:r>
        <w:t xml:space="preserve">]</w:t>
      </w:r>
    </w:p>
    <w:p w:rsidR="003F3435" w:rsidRDefault="0032493E">
      <w:pPr>
        <w:spacing w:line="480" w:lineRule="auto"/>
        <w:ind w:firstLine="2880"/>
        <w:jc w:val="both"/>
      </w:pPr>
      <w:r>
        <w:t xml:space="preserve">(ii)</w:t>
      </w:r>
      <w:r xml:space="preserve">
        <w:t> </w:t>
      </w:r>
      <w:r xml:space="preserve">
        <w:t> </w:t>
      </w:r>
      <w:r>
        <w:t xml:space="preserve">licensed under Chapter 252; </w:t>
      </w:r>
      <w:r>
        <w:rPr>
          <w:u w:val="single"/>
        </w:rPr>
        <w:t xml:space="preserve">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licensed under Chapter 555;</w:t>
      </w:r>
    </w:p>
    <w:p w:rsidR="003F3435" w:rsidRDefault="0032493E">
      <w:pPr>
        <w:spacing w:line="480" w:lineRule="auto"/>
        <w:ind w:firstLine="2160"/>
        <w:jc w:val="both"/>
      </w:pPr>
      <w:r>
        <w:t xml:space="preserve">(B)</w:t>
      </w:r>
      <w:r xml:space="preserve">
        <w:t> </w:t>
      </w:r>
      <w:r xml:space="preserve">
        <w:t> </w:t>
      </w:r>
      <w:r>
        <w:t xml:space="preserve">an adult foster care provider that contracts with the department;</w:t>
      </w:r>
    </w:p>
    <w:p w:rsidR="003F3435" w:rsidRDefault="0032493E">
      <w:pPr>
        <w:spacing w:line="480" w:lineRule="auto"/>
        <w:ind w:firstLine="2160"/>
        <w:jc w:val="both"/>
      </w:pPr>
      <w:r>
        <w:t xml:space="preserve">(C)</w:t>
      </w:r>
      <w:r xml:space="preserve">
        <w:t> </w:t>
      </w:r>
      <w:r xml:space="preserve">
        <w:t> </w:t>
      </w:r>
      <w:r>
        <w:t xml:space="preserve">a home and community support services agency licensed by the department under Chapter 142; or</w:t>
      </w:r>
    </w:p>
    <w:p w:rsidR="003F3435" w:rsidRDefault="0032493E">
      <w:pPr>
        <w:spacing w:line="480" w:lineRule="auto"/>
        <w:ind w:firstLine="2160"/>
        <w:jc w:val="both"/>
      </w:pPr>
      <w:r>
        <w:t xml:space="preserve">(D)</w:t>
      </w:r>
      <w:r xml:space="preserve">
        <w:t> </w:t>
      </w:r>
      <w:r xml:space="preserve">
        <w:t> </w:t>
      </w:r>
      <w:r>
        <w:t xml:space="preserve">a prescribed pediatric extended care center licensed under Chapter 248A.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253, Health and Safety Code, is amended by adding Section 253.0025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253.0025.</w:t>
      </w:r>
      <w:r>
        <w:rPr>
          <w:u w:val="single"/>
        </w:rPr>
        <w:t xml:space="preserve"> </w:t>
      </w:r>
      <w:r>
        <w:rPr>
          <w:u w:val="single"/>
        </w:rPr>
        <w:t xml:space="preserve"> </w:t>
      </w:r>
      <w:r>
        <w:rPr>
          <w:u w:val="single"/>
        </w:rPr>
        <w:t xml:space="preserve">EMPLOYMENT SUSPENSION FOR FACILITY EMPLOYEES ACCUSED OF COMMITTING REPORTABLE CONDUCT.  A facility shall suspend the employment of a facility employee who the Health and Human Services Commission finds has engaged in reportable conduct while the employee exhausts any applicable appeals process, including informal and formal appeals and any hearing or judicial review conducted in accordance with Section 253.004 or 253.005, pending a final decision by an administrative law judge. </w:t>
      </w:r>
      <w:r>
        <w:rPr>
          <w:u w:val="single"/>
        </w:rPr>
        <w:t xml:space="preserve"> </w:t>
      </w:r>
      <w:r>
        <w:rPr>
          <w:u w:val="single"/>
        </w:rPr>
        <w:t xml:space="preserve">The facility may not reinstate the employee's position during the course of any applicable appeals process.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