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reviews of certain individuals providing services to individuals with an intellectual or developmental disability under Medicaid;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411.11061.</w:t>
      </w:r>
      <w:r>
        <w:rPr>
          <w:u w:val="single"/>
        </w:rPr>
        <w:t xml:space="preserve"> </w:t>
      </w:r>
      <w:r>
        <w:rPr>
          <w:u w:val="single"/>
        </w:rPr>
        <w:t xml:space="preserve"> </w:t>
      </w:r>
      <w:r>
        <w:rPr>
          <w:u w:val="single"/>
        </w:rPr>
        <w:t xml:space="preserve">ACCESS TO CRIMINAL HISTORY RECORD INFORMATION: CERTAIN MEDICAID PROVIDERS.  (a)  In this section, "residential caregiver" has the meaning assigned by Section 531.02485.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that provides community-based residential care services to Medicaid recipients through a group home or other residential facility licensed by or operated under the authority of the Health and Human Services Commission is entitled to obtain from the department criminal history record information maintained by the department that relates to an individual who is an applicant for employment or seeking a contract position with the provider as a residential caregiver or who is employed or contracted by the provider as a residential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531.02485.</w:t>
      </w:r>
      <w:r>
        <w:rPr>
          <w:u w:val="single"/>
        </w:rPr>
        <w:t xml:space="preserve"> </w:t>
      </w:r>
      <w:r>
        <w:rPr>
          <w:u w:val="single"/>
        </w:rPr>
        <w:t xml:space="preserve"> </w:t>
      </w:r>
      <w:r>
        <w:rPr>
          <w:u w:val="single"/>
        </w:rPr>
        <w:t xml:space="preserve">REQUIRED REVIEW OF CRIMINAL HISTORY RECORD INFORMATION FOR CERTAIN RESIDENTIAL CAREGIVERS.  (a)  In this section, "residential caregiver" means an individual who provides, through a group home or other residential facility licensed by or operated under the authority of the commission, community-based residential care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not more than four individuals with an intellectual or developmental disability at any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residence other than the home of the individual providing the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including a provider providing services under a 1915(c) waiver program, that employs or contracts with a residential caregiver to provide community-based residential care services to Medicaid recipients shall review state and federal criminal history record information and obtain electronic updates from the Department of Public Safety of arrests and convictions for each residential caregiver the provider employs or contracts with to provide community-based residential care services to Medicaid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who has been convicted of an offense described by Section 250.006, Health and Safety Code, may not be employed or contracted as a residential caregiver or otherwise provide direct care to a Medicaid recipient with an intellectual or developmental disability to the same extent and, if applicable, for the same period of time prescribed by Section 250.006(a) or (b), Health and Safety Code, as an individual similarly convicted under those subsections.  An individual who violates this subsection is subject to disciplinary action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Medicaid provider shall immediately discharge any individual the provider employs or contracts with as a residential caregiver who is convicted of an offense described by Section 250.006, Health and Safety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 shall take disciplinary action against a Medicaid provider that violates this section, including imposing an administrative penalty or vendor hold, terminating a contract or license, or any other disciplinary action the commission determines appropriate.  In determining the appropriate disciplinary action to take against a Medicaid provider under this subsection,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seriousness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justice may require.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