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88R3050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1010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insurable interest of certain persons providing care to individuals with disabilities in the life of those individuals.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1103.053, Insurance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w:t>
      </w:r>
      <w:r>
        <w:rPr>
          <w:u w:val="single"/>
        </w:rPr>
        <w:t xml:space="preserve">or (c)</w:t>
      </w:r>
      <w:r>
        <w:t xml:space="preserve">, a beneficiary or owner of a life insurance policy who is designated in accordance with this subchapter or an entity to which a life insurance policy or an interest, benefit, right, or title in a life insurance policy is transferred or assigned in accordance with this subchapter has, at all times after the designation, an insurable interest in the life of the individual who is insured under the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providing care to an individual with a disability, including an intellectual disability, at a state supported living center, as defined by Section 531.002, Health and Safety Code, an assisted living facility licensed under Chapter 247, Health and Safety Code, an intermediate care facility licensed under Chapter 252, Health and Safety Code, or a group home, as defined by Section 591.003, Health and Safety Code, does not directly or indirectly have an insurable interest in the life of an individual unless the person is a relative of the individual.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1103.053(c), Insurance Code, as added by this Act, applies only to an insurance policy delivered, issued for delivery, or renewed on or after January 1, 2024.</w:t>
      </w:r>
      <w:r xml:space="preserve">
        <w:t>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