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1023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laboratory developed tests during a federally declared public health emergency.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100B to read as follows:</w:t>
      </w:r>
    </w:p>
    <w:p w:rsidR="003F3435" w:rsidRDefault="0032493E">
      <w:pPr>
        <w:spacing w:line="480" w:lineRule="auto"/>
        <w:jc w:val="center"/>
      </w:pPr>
      <w:r>
        <w:rPr>
          <w:u w:val="single"/>
        </w:rPr>
        <w:t xml:space="preserve">CHAPTER 100B. REGULATION OF LABORATORY DEVELOPED TESTS DURING FEDERALLY DECLARED PUBLIC HEALTH EMERGENCY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"Federally declared public health emergency"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health emergency declared by the  United States secretary of health and human services under 42  U.S.C. Section 247d;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or disaster declared, including  under a renewal of the declaration, by the president of the United States in relation to a public health emergency described by  Paragraph (A)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Emergencies Act (50 U.S.C.  Section 1601 et seq.);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Robert T. Stafford Disaster Relief  and Emergency Assistant Act (42 U.S.C. Section 5121 et seq.).</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"Laboratory developed test" means a test used in  the same clinical laboratory in Texas that designed and manufactured the test to detect a pathogen or agent or to diagnose  a health condition caused by a pathogen or agent, and as result,  such test is deemed to be a test used and manufactured solely intrastate.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100B.002.</w:t>
      </w:r>
      <w:r>
        <w:rPr>
          <w:u w:val="single"/>
        </w:rPr>
        <w:t xml:space="preserve"> </w:t>
      </w:r>
      <w:r>
        <w:rPr>
          <w:u w:val="single"/>
        </w:rPr>
        <w:t xml:space="preserve"> </w:t>
      </w:r>
      <w:r>
        <w:rPr>
          <w:u w:val="single"/>
        </w:rPr>
        <w:t xml:space="preserve">PROHIBITED REGULATION BY UNITED STATES FOOD AND DRUG ADMINISTRATION.  (a) </w:t>
      </w:r>
      <w:r>
        <w:rPr>
          <w:u w:val="single"/>
        </w:rPr>
        <w:t xml:space="preserve"> </w:t>
      </w:r>
      <w:r>
        <w:rPr>
          <w:u w:val="single"/>
        </w:rPr>
        <w:t xml:space="preserve">Notwithstanding any other law, during a federally declared public health emergency, a clinical  laboratory is considered a state agency for purposes of regulation by the United States Food and Drug Administration when the  laboratory is performing a laboratory developed test on a pathogen or agent that is the b</w:t>
      </w:r>
      <w:r>
        <w:rPr>
          <w:u w:val="single"/>
        </w:rPr>
        <w:t xml:space="preserve">asis for the emergency declaration or to  diagnose the health condition that is the basis for the emergency declaration.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affect a clinical laboratory's  liability under any applicable state or federal law, except to the  extent the laboratory's liability is limited under the Public  Readiness and Emergency Preparedness Act (42 U.S.C. Section 247d)  and further does not authorize any state agency to exercise any authority over laboratories that it did not possess prior the  issuance of the public health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