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88R3623 ATP-D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1025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a reversionary interest in certain real property by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Chapter 54 (H.B. 2641), Acts of the 86th Legislature, Regular Session, 2019,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Subsections (b) and (c) of this section and not later than February 1, </w:t>
      </w:r>
      <w:r>
        <w:rPr>
          <w:u w:val="single"/>
        </w:rPr>
        <w:t xml:space="preserve">2027</w:t>
      </w:r>
      <w:r>
        <w:t xml:space="preserve"> [</w:t>
      </w:r>
      <w:r>
        <w:rPr>
          <w:strike/>
        </w:rPr>
        <w:t xml:space="preserve">2023</w:t>
      </w:r>
      <w:r>
        <w:t xml:space="preserve">], the Health and Human Services Commission shall execute an appropriate instrument to release and nullify the right of reverter to which the real property described by Section 2 of this Act is subject under the deed filed in the Deed Records of Howard County, Texas, at Volume 795, Pages 141-143.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