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funding for gender reassignment.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10, Government Code, is amended by adding Chapter 2275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2275. Prohibition on Use of Taxpayer Resources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2275.001.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"Gender reassignment" means a medical intervention, including surgery performed for the purpose of altering a person's primary or secondary sex characteristics or drugs or biologicals prescribed for the purpose of altering or maintaining alteration of a person's primary or secondary sex characteristics.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"Intersex person" means an person who: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inborn chromosomal, gonadal, genital, or endocrine characteristics, or a combination of those characteristics, that are not suited to the typical definition of male or female or are atypical for the determined sex of the person;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considered by a medical professional to have inborn chromosomal, gonadal, genital, or endocrine characteristics that are ambiguous or atypical for the determined sex of the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2275.002.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USE OF TAXPAYER RESOURCES FOR GENDER REASSIGNMENT.  (a) </w:t>
      </w:r>
      <w:r>
        <w:rPr>
          <w:u w:val="single"/>
        </w:rPr>
        <w:t xml:space="preserve"> </w:t>
      </w:r>
      <w:r>
        <w:rPr>
          <w:u w:val="single"/>
        </w:rPr>
        <w:t xml:space="preserve">No funds authorized or appropriated by State law shall be expended for any gender reassignment.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funds authorized or appropriated by State law shall be expended for health benefits that covers gender reassignment.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prohibition in subsection (a) and (b) does not apply to gender reassignment to be performed on an intersex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