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88R1194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(w)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65,000 that contains a portion of a national grassland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352.002(w) may not exceed two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</w:t>
      </w:r>
      <w:r>
        <w:rPr>
          <w:u w:val="single"/>
        </w:rPr>
        <w:t xml:space="preserve"> </w:t>
      </w:r>
      <w:r>
        <w:rPr>
          <w:u w:val="single"/>
        </w:rPr>
        <w:t xml:space="preserve">CERTAIN COUNTIES CONTAINING NATIONAL GRASSLAND.  In addition to the purposes authorized by this chapter, the revenue from a tax imposed under this chapter by a county authorized to impose the tax under Section 352.002(w) may be used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purposes described by Section 352.101(a);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historical preservation and restoration.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