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88R3957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1035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indicator of achievement for evaluating the performance of public elementary, middle, and junior high school campuses and districts under the public school accountability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39.053, Education Code, is amended by amending Subsection (c) and adding Subsection (c-4)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w:t>
      </w:r>
      <w:r>
        <w:rPr>
          <w:strike/>
        </w:rPr>
        <w:t xml:space="preserve">and</w:t>
      </w:r>
      <w:r>
        <w:t xml:space="preserve">]</w:t>
      </w:r>
    </w:p>
    <w:p w:rsidR="003F3435" w:rsidRDefault="0032493E">
      <w:pPr>
        <w:spacing w:line="480" w:lineRule="auto"/>
        <w:ind w:firstLine="2160"/>
        <w:jc w:val="both"/>
      </w:pPr>
      <w:r>
        <w:rPr>
          <w:u w:val="single"/>
        </w:rPr>
        <w:t xml:space="preserve">(A-1)</w:t>
      </w:r>
      <w:r>
        <w:rPr>
          <w:u w:val="single"/>
        </w:rPr>
        <w:t xml:space="preserve"> </w:t>
      </w:r>
      <w:r>
        <w:rPr>
          <w:u w:val="single"/>
        </w:rPr>
        <w:t xml:space="preserve"> </w:t>
      </w:r>
      <w:r>
        <w:rPr>
          <w:u w:val="single"/>
        </w:rPr>
        <w:t xml:space="preserve">for evaluating the performance of elementary, middle, and junior high school campuses and districts that include those campuses, an indicator that accounts for improving student preparedness for success in subsequent grade levels that is measured by meeting standards, adopted by commissioner rule, other than performance on assessment instruments;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enlist in the armed forces of the United States or the Texas National Guard;</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In evaluating the performance of elementary, middle, and junior high school campuses and districts that include those campuses in the student achievement domain, the commissioner shall give equal weight to the indicators: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adopted by the commissioner under Subsection (c)(1)(A-1);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Subsection (c)(1)(A)(i)(a) that account for the results of assessment instruments.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