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88R4637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 Frazier, Troxclair, Canales,</w:t>
      </w:r>
      <w:r xml:space="preserve">
        <w:tab wTab="150" tlc="none" cTlc="0"/>
      </w:r>
      <w:r>
        <w:t xml:space="preserve">H.B.</w:t>
      </w:r>
      <w:r xml:space="preserve">
        <w:t> </w:t>
      </w:r>
      <w:r>
        <w:t xml:space="preserve">No.</w:t>
      </w:r>
      <w:r xml:space="preserve">
        <w:t> </w:t>
      </w:r>
      <w:r>
        <w:t xml:space="preserve">1038</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biennial report on state lending and credit support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1231, Government Code, is amended by adding Section 1231.064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1231.064.</w:t>
      </w:r>
      <w:r>
        <w:rPr>
          <w:u w:val="single"/>
        </w:rPr>
        <w:t xml:space="preserve"> </w:t>
      </w:r>
      <w:r>
        <w:rPr>
          <w:u w:val="single"/>
        </w:rPr>
        <w:t xml:space="preserve"> </w:t>
      </w:r>
      <w:r>
        <w:rPr>
          <w:u w:val="single"/>
        </w:rPr>
        <w:t xml:space="preserve">BIENNIAL REPORT ON STATE LENDING AND CREDIT SUPPORT PROGRAMS.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31 of each even-numbered year, the board shall submit to the legislature and post on the board's Internet website a report on all lending programs and credit support programs in this state.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state money lent through lending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debt supported by credit support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lending program or credit support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state money lent through or debt supported by the program, as applicable;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citation to the law authorizing the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