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88R1262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against covenants not to compete for certain low-wage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15.50(a),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15.05 [</w:t>
      </w:r>
      <w:r>
        <w:rPr>
          <w:strike/>
        </w:rPr>
        <w:t xml:space="preserve">of this code</w:t>
      </w:r>
      <w:r>
        <w:t xml:space="preserve">], and subject to any applicable provision of Subsection (b) </w:t>
      </w:r>
      <w:r>
        <w:rPr>
          <w:u w:val="single"/>
        </w:rPr>
        <w:t xml:space="preserve">of this section</w:t>
      </w:r>
      <w:r>
        <w:t xml:space="preserve">, a covenant not to compete is enforceable if it is ancillary to or part of an otherwise enforceable agreement at the time the agreement is made to the extent that it contains limitations as to time, geographical area, and scope of activity to be restrained that are reasonable and do not impose a greater restraint than is necessary to protect the goodwill or other business interest of the promisee</w:t>
      </w:r>
      <w:r>
        <w:rPr>
          <w:u w:val="single"/>
        </w:rPr>
        <w:t xml:space="preserve">, except as provided by Section 15.501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15, Business &amp; Commerce Code, is amended by adding Section 15.501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15.501.</w:t>
      </w:r>
      <w:r>
        <w:rPr>
          <w:u w:val="single"/>
        </w:rPr>
        <w:t xml:space="preserve"> </w:t>
      </w:r>
      <w:r>
        <w:rPr>
          <w:u w:val="single"/>
        </w:rPr>
        <w:t xml:space="preserve"> </w:t>
      </w:r>
      <w:r>
        <w:rPr>
          <w:u w:val="single"/>
        </w:rPr>
        <w:t xml:space="preserve">PROHIBITION AGAINST COVENANT NOT TO COMPETE FOR CERTAIN LOW-WAGE EMPLOYEES.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w:t>
      </w:r>
      <w:r>
        <w:rPr>
          <w:u w:val="single"/>
        </w:rPr>
        <w:t xml:space="preserve"> </w:t>
      </w:r>
      <w:r>
        <w:rPr>
          <w:u w:val="single"/>
        </w:rPr>
        <w:t xml:space="preserve">means an individual who is employed by an employer for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w:t>
      </w:r>
      <w:r>
        <w:rPr>
          <w:u w:val="single"/>
        </w:rPr>
        <w:t xml:space="preserve"> </w:t>
      </w:r>
      <w:r>
        <w:rPr>
          <w:u w:val="single"/>
        </w:rPr>
        <w:t xml:space="preserve">means a person who employs one or more employees. </w:t>
      </w:r>
      <w:r>
        <w:rPr>
          <w:u w:val="single"/>
        </w:rPr>
        <w:t xml:space="preserve"> </w:t>
      </w:r>
      <w:r>
        <w:rPr>
          <w:u w:val="single"/>
        </w:rPr>
        <w:t xml:space="preserve">The term does not include a public employer.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employee who earns not more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minimum wage under Section 6, Fair Labor Standards Act of 1938 (29 U.S.C. Section 206);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 an hour.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not require an employee to whom this section applies to enter into a covenant not to compete that restricts the employee from performing 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another employer for a specified period of time;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specified geographical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another employer similar to the employee's work for the current employer.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covenant not to compete described by Subsection (c) is void and unenforceable.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15.51 does not apply to a covenant not to compete described by Subsection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15.52, Business &amp; Commerce Code, is amended to read as follows:</w:t>
      </w:r>
    </w:p>
    <w:p w:rsidR="003F3435" w:rsidRDefault="0032493E">
      <w:pPr>
        <w:spacing w:line="480" w:lineRule="auto"/>
        <w:ind w:firstLine="720"/>
        <w:jc w:val="both"/>
      </w:pPr>
      <w:r>
        <w:t xml:space="preserve">Sec.</w:t>
      </w:r>
      <w:r xml:space="preserve">
        <w:t> </w:t>
      </w:r>
      <w:r>
        <w:t xml:space="preserve">15.52.</w:t>
      </w:r>
      <w:r xml:space="preserve">
        <w:t> </w:t>
      </w:r>
      <w:r xml:space="preserve">
        <w:t> </w:t>
      </w:r>
      <w:r>
        <w:t xml:space="preserve">PREEMPTION OF OTHER LAW.  The criteria for enforceability of a covenant not to compete provided by </w:t>
      </w:r>
      <w:r>
        <w:rPr>
          <w:u w:val="single"/>
        </w:rPr>
        <w:t xml:space="preserve">Sections</w:t>
      </w:r>
      <w:r>
        <w:t xml:space="preserve"> [</w:t>
      </w:r>
      <w:r>
        <w:rPr>
          <w:strike/>
        </w:rPr>
        <w:t xml:space="preserve">Section</w:t>
      </w:r>
      <w:r>
        <w:t xml:space="preserve">] 15.50 </w:t>
      </w:r>
      <w:r>
        <w:rPr>
          <w:u w:val="single"/>
        </w:rPr>
        <w:t xml:space="preserve">and 15.501</w:t>
      </w:r>
      <w:r>
        <w:t xml:space="preserve"> [</w:t>
      </w:r>
      <w:r>
        <w:rPr>
          <w:strike/>
        </w:rPr>
        <w:t xml:space="preserve">of this code</w:t>
      </w:r>
      <w:r>
        <w:t xml:space="preserve">] and the procedures and remedies in an action to enforce a covenant not to compete provided by Section 15.51 [</w:t>
      </w:r>
      <w:r>
        <w:rPr>
          <w:strike/>
        </w:rPr>
        <w:t xml:space="preserve">of this code</w:t>
      </w:r>
      <w:r>
        <w:t xml:space="preserve">] are exclusive and preempt any other criteria for enforceability of a covenant not to compete or procedures and remedies in an action to enforce a covenant not to compete under common law or otherwise.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covenant entered into on or after the effective date of this Act.  A covenant entered into before the effective date of this Act is governed by the law in effect at the time the covenant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