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88R2841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1047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submission of certain reports to the legislature by the governor regarding a declared state of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418, Government Code, is amended by adding Section 418.027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418.027.</w:t>
      </w:r>
      <w:r>
        <w:rPr>
          <w:u w:val="single"/>
        </w:rPr>
        <w:t xml:space="preserve"> </w:t>
      </w:r>
      <w:r>
        <w:rPr>
          <w:u w:val="single"/>
        </w:rPr>
        <w:t xml:space="preserve"> </w:t>
      </w:r>
      <w:r>
        <w:rPr>
          <w:u w:val="single"/>
        </w:rPr>
        <w:t xml:space="preserve">REPORT TO LEGISLATURE.  Not later than the 30th day after the date the governor issues an executive order or proclamation declaring or renewing a state of disaster under Section 418.014, the governor shall submit to the legislature a report detailing: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expenditures relating to contracts entered into without complying with competitive bidding procedures during the declared state of disaster;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 federal money received in response to the declared state of disaster, any expenditure or expenditure plan required by a federal program for the federal money, each state agency or program receiving federal money, and any state money required to match the federal money.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executive order or proclamation issued or renewed under Section 418.014, Government Code,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