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88R3059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landlord's notice to residential tenants regarding rent increases.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92, Property Code, is amended by adding Section 92.027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92.027.</w:t>
      </w:r>
      <w:r>
        <w:rPr>
          <w:u w:val="single"/>
        </w:rPr>
        <w:t xml:space="preserve"> </w:t>
      </w:r>
      <w:r>
        <w:rPr>
          <w:u w:val="single"/>
        </w:rPr>
        <w:t xml:space="preserve"> </w:t>
      </w:r>
      <w:r>
        <w:rPr>
          <w:u w:val="single"/>
        </w:rPr>
        <w:t xml:space="preserve">NOTICE OF RENT INCREASES.  (a)  A landlord that proposes on renewal of a tenant's lease to increase the amount of rent the landlord charges the tenant shall provide written notice to the tenant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required by Subsection (a)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tenant's rent after the increase;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improvements to the tenant's rental unit or another part of the premises that have resulted in the rent increase, if any;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effective date of the rent increase.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landlord shall provide the notice required by Subsection (a) not later than the seventh day before the date the tenant is required to provide notice to vacate at the end of the lease term.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landlord fails to provide notice as required by Subsection (c), the landlord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seventh day after the date the landlord provides to the tenant a notice in compliance with Subsection (b), require the tenant to provide notice to vacate the premises;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tenant who renews the lease, increase the rent before the seventh day after the effective date of the renewal lease term.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landlord fails to comply with this section, the tenant is entitled to recover from the landlord a penalty in the amount of $100.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92.027, Property Code, as added by this Act, applies only to a lease agreement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