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88R3072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pharmacists to dispense self-administered hormonal contraceptives.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157, Occupations Code, is amended by adding Section 157.102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157.102.</w:t>
      </w:r>
      <w:r>
        <w:rPr>
          <w:u w:val="single"/>
        </w:rPr>
        <w:t xml:space="preserve"> </w:t>
      </w:r>
      <w:r>
        <w:rPr>
          <w:u w:val="single"/>
        </w:rPr>
        <w:t xml:space="preserve"> </w:t>
      </w:r>
      <w:r>
        <w:rPr>
          <w:u w:val="single"/>
        </w:rPr>
        <w:t xml:space="preserve">AUTHORIZATION TO DISPENSE SELF-ADMINISTERED HORMONAL CONTRACEPTIVE UNDER WRITTEN PROTOCOL.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"Pharmacist" has the meaning assigned by Section 551.003.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"Written protocol" means a physician's written order, standing medical order, standing delegation order, or other order or protocol as defined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issuing of a valid patient-specific prescription for a hormonal contraceptive by a physician;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of a hormonal contraceptive by a pharmacist under a prescription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may issue a written protocol to authorize the dispensing of a self-administered hormonal contraceptive that is approved by the United States Food and Drug Administration to prevent pregnancy, including an oral hormonal contraceptive, a hormonal contraceptive vaginal ring, or a hormonal contraceptive patch.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accordance with rules adopted under Subsection (e), a pharmacist may dispense a self-administered hormonal contraceptive to a patient 18 years of age or older under a written protocol and without any other patient-specific prescription drug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consultation with a national professional organization specializing in obstetrics and gynecology, the board shall jointly adopt rules with the Texas State Board of Pharmacy to establish standard procedures for a pharmacist to dispense a self-administered hormonal contraceptive under this section.  Rules adopted under this subsection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patient to complete and provide to a pharmacist a nationally recognized self-screening risk assessment before the pharmacist may dispense a self-administered hormonal contraceptive to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pharmacist to provide the patient with information about the contraceptive dispensed to the patient.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physician acting reasonably and in good faith in issuing a written protocol for dispensing, or a pharmacist acting reasonably and in good faith in dispensing, a self-administered hormonal contraceptive under this section is not liable for civil damages resulting from an act or omission in the dispensing of the contraceptive.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governing coverage by a health benefit plan of a contraceptive drug, device, product, or service applies to a self-administered hormonal contraceptive dispensed under this section to the same extent that the law applies to a self-administered hormonal contraceptive dispensed under a patient-specific prescription issued by a physician.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administering an immunization or vaccination under a physician's written protocol</w:t>
      </w:r>
      <w:r>
        <w:rPr>
          <w:u w:val="single"/>
        </w:rPr>
        <w:t xml:space="preserv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dispensing a self-administered hormonal contraceptive to a patient under a physician's written protocol under Section 157.102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483.001(11), Health and Safety Code, is amended to read as follows:</w:t>
      </w:r>
    </w:p>
    <w:p w:rsidR="003F3435" w:rsidRDefault="0032493E">
      <w:pPr>
        <w:spacing w:line="480" w:lineRule="auto"/>
        <w:ind w:firstLine="1440"/>
        <w:jc w:val="both"/>
      </w:pPr>
      <w:r>
        <w:t xml:space="preserve">(11)</w:t>
      </w:r>
      <w:r xml:space="preserve">
        <w:t> </w:t>
      </w:r>
      <w:r xml:space="preserve">
        <w:t> </w:t>
      </w:r>
      <w:r>
        <w:t xml:space="preserve">"Practice of pharmacy" </w:t>
      </w:r>
      <w:r>
        <w:rPr>
          <w:u w:val="single"/>
        </w:rPr>
        <w:t xml:space="preserve">has the meaning assigned by Section 551.003, Occupations Code</w:t>
      </w:r>
      <w:r>
        <w:t xml:space="preserve"> [</w:t>
      </w:r>
      <w:r>
        <w:rPr>
          <w:strike/>
        </w:rPr>
        <w:t xml:space="preserve">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provision of those acts or services necessary to provide pharmaceutical care;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interpretation and evaluation of prescription drug orders or medication orders;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participation in drug and device selection as authorized by law, drug administration, drug regimen review, or drug or drug-related research;</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provision of patient counseling;</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responsibility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dispensing of prescription drug orders or distribution of medication orders in the patient's best interest;</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compounding and labeling of drugs and devices, except labeling by a manufacturer, repackager, or distributor of nonprescription drugs and commercially packaged prescription drugs and devices;</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proper and safe storage of drugs and devices;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maintenance of proper records for drugs and devices.  In this subdivision, "device" has the meaning assigned by Subtitle J, Title 3, Occupations Code; or</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performance of a specific act of drug therapy management for a patient delegated to a pharmacist by a written protocol from a physician licensed by the state under Subtitle B, Title 3, Occupations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State Board of Pharmacy and the Texas Medical Board shall adopt the rules required under Section 157.102,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