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88R3081 AMF-D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Hinojosa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1051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means by which schools are compared in the Public School Accountability System.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39.053, Education Code, is amended by adding Subsection (c-4)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(c-4)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For purposes of Subsection (c)(2)(B), the commissioner may not compare the relative performance of a campus in a district in which student enrollment is based only on a student's residence and the relative performance of a campus in a district in which a student's parent or person standing in parental relation to the student is allowed to enroll the student at a campus other than the campus the student would attend based on the student's residence.</w:t>
      </w:r>
      <w:r>
        <w:t xml:space="preserve"> 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applies beginning with the 2023-2024 school year.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1051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