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88R2990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1054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classification of certain construction workers and the eligibility of those workers for unemployment benefits;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201, Labor Code, is amended by adding Section 201.079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201.079.</w:t>
      </w:r>
      <w:r>
        <w:rPr>
          <w:u w:val="single"/>
        </w:rPr>
        <w:t xml:space="preserve"> </w:t>
      </w:r>
      <w:r>
        <w:rPr>
          <w:u w:val="single"/>
        </w:rPr>
        <w:t xml:space="preserve"> </w:t>
      </w:r>
      <w:r>
        <w:rPr>
          <w:u w:val="single"/>
        </w:rPr>
        <w:t xml:space="preserve">SERVICE BY INDEPENDENT CONTRACTOR IN CONSTRUCTION.  (a)  In this section, "construction" has the meaning assigned by Section 301.201.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subtitle, "employment" does not include construction performed by an individual as an independent contractor.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301, Labor Code, is amended by adding Subchapter L to read as follows:</w:t>
      </w:r>
    </w:p>
    <w:p w:rsidR="003F3435" w:rsidRDefault="0032493E">
      <w:pPr>
        <w:spacing w:line="480" w:lineRule="auto"/>
        <w:jc w:val="center"/>
      </w:pPr>
      <w:r>
        <w:rPr>
          <w:u w:val="single"/>
        </w:rPr>
        <w:t xml:space="preserve">SUBCHAPTER L. </w:t>
      </w:r>
      <w:r>
        <w:rPr>
          <w:u w:val="single"/>
        </w:rPr>
        <w:t xml:space="preserve"> </w:t>
      </w:r>
      <w:r>
        <w:rPr>
          <w:u w:val="single"/>
        </w:rPr>
        <w:t xml:space="preserve">CLASSIFICATION OF INDIVIDUAL EMPLOYED IN CONSTRUCTION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"Construction" means work related to the erection, improvement, alteration, repair, renovation, maintenance, or remodeling of a building, structure, appurtenance, road, highway, bridge, dam, levee, canal, jetty, or other improvement to or on real property, including moving, demolishing, dredging, shoring, scaffolding, drilling, blasting, and excavating real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"Contractor" means a person who contracts to perform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 has the meaning assigned by Section 61.001.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301.202.</w:t>
      </w:r>
      <w:r>
        <w:rPr>
          <w:u w:val="single"/>
        </w:rPr>
        <w:t xml:space="preserve"> </w:t>
      </w:r>
      <w:r>
        <w:rPr>
          <w:u w:val="single"/>
        </w:rPr>
        <w:t xml:space="preserve"> </w:t>
      </w:r>
      <w:r>
        <w:rPr>
          <w:u w:val="single"/>
        </w:rPr>
        <w:t xml:space="preserve">APPLICABILITY.  (a)  An individual may not be considered an employee based solely on the fact that the person for whom the individual is providing construction services requires that any employee hired by the individual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a criminal background check or preemployment drug screening;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possess a certain license or certification relating to the work the employee will perform.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for whom an individual is providing construction services is not required to report to the commission under Subtitle A that the individual is an employee of the person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shows that the individual is an independent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to the individual an Internal Revenue Service Form 1099, or a similar form issued by, or that meets the compliance guidelines of, the Internal Revenue Service, on which the person reports the amount paid to the individual in accordance with Internal Revenue Service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files the form described by Subdivision (2) with the Internal Revenue Service in accordance with Internal Revenue Service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does not apply to services performed by an individual in the employ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 political subdivision of a state, or an Indian tribe or an instrumentality of a state, political subdivision of a state, or Indian tribe that is wholly owned by one or more states, political subdivisions, or Indian tribes, provided that the services are excluded from employment as defined in the Federal Unemployment Tax Act (26 U.S.C. Section 3301 et seq.) solely because of Section 3306(c)(7) of that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religious, charitable, educational, or other organization, provided that the services are excluded from employment as defined in the Federal Unemployment Tax Act (26 U.S.C. Section 3301 et seq.) solely because of Section 3306(c)(8) of that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301.203.</w:t>
      </w:r>
      <w:r>
        <w:rPr>
          <w:u w:val="single"/>
        </w:rPr>
        <w:t xml:space="preserve"> </w:t>
      </w:r>
      <w:r>
        <w:rPr>
          <w:u w:val="single"/>
        </w:rPr>
        <w:t xml:space="preserve"> </w:t>
      </w:r>
      <w:r>
        <w:rPr>
          <w:u w:val="single"/>
        </w:rPr>
        <w:t xml:space="preserve">EMPLOYEE STATUS.  A contractor shall properly classify each individual providing construction services as either an employee or an independent contractor in accordance with commission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301.204.</w:t>
      </w:r>
      <w:r>
        <w:rPr>
          <w:u w:val="single"/>
        </w:rPr>
        <w:t xml:space="preserve"> </w:t>
      </w:r>
      <w:r>
        <w:rPr>
          <w:u w:val="single"/>
        </w:rPr>
        <w:t xml:space="preserve"> </w:t>
      </w:r>
      <w:r>
        <w:rPr>
          <w:u w:val="single"/>
        </w:rPr>
        <w:t xml:space="preserve">INFORMATION REGARDING COMPLAINTS.  The commission shall provide on its Internet website information regarding the procedure for the public to report violations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301.205.</w:t>
      </w:r>
      <w:r>
        <w:rPr>
          <w:u w:val="single"/>
        </w:rPr>
        <w:t xml:space="preserve"> </w:t>
      </w:r>
      <w:r>
        <w:rPr>
          <w:u w:val="single"/>
        </w:rPr>
        <w:t xml:space="preserve"> </w:t>
      </w:r>
      <w:r>
        <w:rPr>
          <w:u w:val="single"/>
        </w:rPr>
        <w:t xml:space="preserve">ADMINISTRATIVE PENALTY.  (a) The commission may impose an administrative penalty on a contractor who violates Section 301.203. </w:t>
      </w:r>
      <w:r>
        <w:rPr>
          <w:u w:val="single"/>
        </w:rPr>
        <w:t xml:space="preserve"> </w:t>
      </w:r>
      <w:r>
        <w:rPr>
          <w:u w:val="single"/>
        </w:rPr>
        <w:t xml:space="preserve">The amount of the penalty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 for each individual who is not properly classified;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 for each individual who is not properly classified for each subsequent violation that occurs after the imposition of a penalty for a prior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penalty issued under this section applies to a successor business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one or more owners who jointly control at least 50 percent of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original employer;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successor business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engaged in the same or similar business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administrative penalty imposed under this section shall be imposed in the same manner as the commission imposes an administrative penalty under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301.206.</w:t>
      </w:r>
      <w:r>
        <w:rPr>
          <w:u w:val="single"/>
        </w:rPr>
        <w:t xml:space="preserve"> </w:t>
      </w:r>
      <w:r>
        <w:rPr>
          <w:u w:val="single"/>
        </w:rPr>
        <w:t xml:space="preserve"> </w:t>
      </w:r>
      <w:r>
        <w:rPr>
          <w:u w:val="single"/>
        </w:rPr>
        <w:t xml:space="preserve">NOTIFICATION TO GOVERNMENTAL ENTITY. </w:t>
      </w:r>
      <w:r>
        <w:rPr>
          <w:u w:val="single"/>
        </w:rPr>
        <w:t xml:space="preserve"> </w:t>
      </w:r>
      <w:r>
        <w:rPr>
          <w:u w:val="single"/>
        </w:rPr>
        <w:t xml:space="preserve">If the commission determines that a contractor has violated this subchapter, the commission shall provide notice of the violation to each governmental entity that the commission reasonably believes has received construction services provided by the contractor. </w:t>
      </w:r>
      <w:r>
        <w:rPr>
          <w:u w:val="single"/>
        </w:rPr>
        <w:t xml:space="preserve"> </w:t>
      </w:r>
      <w:r>
        <w:rPr>
          <w:u w:val="single"/>
        </w:rPr>
        <w:t xml:space="preserve">The notice must identify the contractor and, for each violation, specify the type of service provided and the location at which the service was provided, if known to the commission. </w:t>
      </w:r>
      <w:r>
        <w:rPr>
          <w:u w:val="single"/>
        </w:rPr>
        <w:t xml:space="preserve"> </w:t>
      </w:r>
      <w:r>
        <w:rPr>
          <w:u w:val="single"/>
        </w:rPr>
        <w:t xml:space="preserve">In this section, "governmental entity"</w:t>
      </w:r>
      <w:r>
        <w:rPr>
          <w:u w:val="single"/>
        </w:rPr>
        <w:t xml:space="preserve"> </w:t>
      </w:r>
      <w:r>
        <w:rPr>
          <w:u w:val="single"/>
        </w:rPr>
        <w:t xml:space="preserve">has the meaning assigned by Section 406.096.</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301.207.</w:t>
      </w:r>
      <w:r>
        <w:rPr>
          <w:u w:val="single"/>
        </w:rPr>
        <w:t xml:space="preserve"> </w:t>
      </w:r>
      <w:r>
        <w:rPr>
          <w:u w:val="single"/>
        </w:rPr>
        <w:t xml:space="preserve"> </w:t>
      </w:r>
      <w:r>
        <w:rPr>
          <w:u w:val="single"/>
        </w:rPr>
        <w:t xml:space="preserve">ANNUAL REPORT.  The commission shall issue an annual report regarding compliance with and enforcement of this subchapter.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complaints received from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investigated complaints and any resulting findings;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unemployment taxes, interest, administrative penalties, and fines actually collected as a result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violations of this subchapter;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exclusion of construction performed by an individual from the application of Subtitle A, unless the services are excluded by application of Section 201.079.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claim for unemployment compensation benefits that is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