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unemployment benefits of individuals who are unemployed due to certain labor disputes.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 Section 207.048, Labor Code, is amended by amending Subsections (a), (b), and (f) and adding Subsection (g) to read as follows:</w:t>
      </w:r>
    </w:p>
    <w:p w:rsidR="003F3435" w:rsidRDefault="0032493E">
      <w:pPr>
        <w:spacing w:line="480" w:lineRule="auto"/>
        <w:ind w:firstLine="720"/>
        <w:jc w:val="both"/>
      </w:pPr>
      <w:r>
        <w:t xml:space="preserve">(a)</w:t>
      </w:r>
      <w:r xml:space="preserve">
        <w:t> </w:t>
      </w:r>
      <w:r xml:space="preserve">
        <w:t> </w:t>
      </w:r>
      <w:r>
        <w:t xml:space="preserve">An individual is disqualified for benefits for a benefit period in which the individual's total or partial unemployment is caused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individual's stoppage of work because of a labor dispute at the factory, establishment, or other premises where the individual is or was last employed[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labor dispute at another place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owned or operated by the same employing unit that owns or operates the premises where the individual is or was last employed;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supplies material or services necessary to the continued and usual operation of the premises where the individual is or was last employed</w:t>
      </w:r>
      <w:r>
        <w:t xml:space="preserve">].</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does not apply to an individual who shows to the satisfaction of the commission that the individual:</w:t>
      </w:r>
    </w:p>
    <w:p w:rsidR="003F3435" w:rsidRDefault="0032493E">
      <w:pPr>
        <w:spacing w:line="480" w:lineRule="auto"/>
        <w:ind w:firstLine="1440"/>
        <w:jc w:val="both"/>
      </w:pPr>
      <w:r>
        <w:t xml:space="preserve">(1)</w:t>
      </w:r>
      <w:r xml:space="preserve">
        <w:t> </w:t>
      </w:r>
      <w:r xml:space="preserve">
        <w:t> </w:t>
      </w:r>
      <w:r>
        <w:t xml:space="preserve">is not participating in, financing, or directly interested in the labor dispute;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does not belong to a grade or class of workers any members of which were employed at the premises of the labor dispute immediately before the beginning of the labor dispute and any of whom are participating in, financing, or directly interested in the dispute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locked out of the individual's place of employment;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placed on emergency leave without pay by the individual's employer</w:t>
      </w:r>
      <w:r>
        <w:t xml:space="preserve">.</w:t>
      </w:r>
    </w:p>
    <w:p w:rsidR="003F3435" w:rsidRDefault="0032493E">
      <w:pPr>
        <w:spacing w:line="480" w:lineRule="auto"/>
        <w:ind w:firstLine="720"/>
        <w:jc w:val="both"/>
      </w:pPr>
      <w:r>
        <w:t xml:space="preserve">(f)</w:t>
      </w:r>
      <w:r xml:space="preserve">
        <w:t> </w:t>
      </w:r>
      <w:r xml:space="preserve">
        <w:t> </w:t>
      </w:r>
      <w:r>
        <w:t xml:space="preserve">For the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"Locked out" means the denial of entry by an employer to the place of employment of employees of that employer who have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gone on strike;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notified the employer of a date on which the employees intend to go on strike.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"Premises"</w:t>
      </w:r>
      <w:r>
        <w:t xml:space="preserve"> [</w:t>
      </w:r>
      <w:r>
        <w:rPr>
          <w:strike/>
        </w:rPr>
        <w:t xml:space="preserve">, "premises"</w:t>
      </w:r>
      <w:r>
        <w:t xml:space="preserve">] includes a vessel.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the purposes of Subsection (b), the payment of regular union dues by an individual does not constitute financing a labor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