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88R3062 ATP-D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of financial institutions and investment firms that lease residential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92, Property Code, is amended by adding Section 92.209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92.209.</w:t>
      </w:r>
      <w:r>
        <w:rPr>
          <w:u w:val="single"/>
        </w:rPr>
        <w:t xml:space="preserve"> </w:t>
      </w:r>
      <w:r>
        <w:rPr>
          <w:u w:val="single"/>
        </w:rPr>
        <w:t xml:space="preserve"> </w:t>
      </w:r>
      <w:r>
        <w:rPr>
          <w:u w:val="single"/>
        </w:rPr>
        <w:t xml:space="preserve">REGISTRY OF CERTAIN LANDLORDS.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"Financial institution" has the meaning assigned by Section 201.101, Finance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"Investment firm" means a corporation or trust engaged in the business of investing the pooled capital of investors in financial securities.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financial institution or investment firm that owns and offers for lease a dwelling in this state must register with the comptroller.  The registration must contain the name of the institution or firm, the number of dwellings owned in each county, and any other information required by the comptroller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compile and maintain the information in a registry that is available in a searchable format on its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notify any appropriate regulatory authority regarding a person's failure to register as required by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adopt rules as necessary to implement and administer this section, including rules establishing deadlines for registration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