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88R4481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prosecuting or referring to juvenile court certain persons for certain conduct constituting the offense of prostitution, to the provision of services to those persons, and to the prosecution of related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Child Sex Trafficking Victims Protections and Provisions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51.03, Family Code, is amended by amending Subsection (b) and adding Subsections (d) and (d-1) to read as follows:</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485.001,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37.007(c),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rPr>
          <w:strike/>
        </w:rPr>
        <w:t xml:space="preserve">43.02 or</w:t>
      </w:r>
      <w:r>
        <w:t xml:space="preserve">] 43.021, Penal Code;</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43.261, Penal Code; or</w:t>
      </w:r>
    </w:p>
    <w:p w:rsidR="003F3435" w:rsidRDefault="0032493E">
      <w:pPr>
        <w:spacing w:line="480" w:lineRule="auto"/>
        <w:ind w:firstLine="1440"/>
        <w:jc w:val="both"/>
      </w:pPr>
      <w:r>
        <w:t xml:space="preserve">(7)</w:t>
      </w:r>
      <w:r xml:space="preserve">
        <w:t> </w:t>
      </w:r>
      <w:r xml:space="preserve">
        <w:t> </w:t>
      </w:r>
      <w:r>
        <w:t xml:space="preserve">notwithstanding Subsection (a)(1), conduct that violates Section 42.0601, Penal Code, if the child has not previously been adjudicated as having engaged in conduct violating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(a)(1), conduct that violates Section 43.02, Penal Code, is not delinquent conduct or conduct indicating a need for supervision.  A child may not be referred to the juvenile court for conduct that violates Section 43.02, Penal Code.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law enforcement officer who suspects that a child may be a victim of an offense under Chapter 20A, Penal Code, or may have engaged in conduct that violates Section 43.02, Penal Code, shall take possession of the child in accordance with Section 262.104.  The officer shall, as soon as possible, transfer possession of the child to the Department of Family and Protective Services.  The Department of Family and Protective Services shall, on taking possession of the child, contact a local service provider or care coordinator who will, in consultation with the child sex trafficking prevention unit established under Section 772.0062, Government Code, and the governor's program for victims of child sex trafficking established under Section 772.0063, Government Code, facilitate the assignment of a caseworker for the child to create a customized package of services to fit the child's immediate and long-term rehabilitation and treatment needs, including medical, psychiatric, psychological, safety, and housing needs.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20A, Penal Code, is amended by adding Section 20A.05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20A.05.</w:t>
      </w:r>
      <w:r>
        <w:rPr>
          <w:u w:val="single"/>
        </w:rPr>
        <w:t xml:space="preserve"> </w:t>
      </w:r>
      <w:r>
        <w:rPr>
          <w:u w:val="single"/>
        </w:rPr>
        <w:t xml:space="preserve"> </w:t>
      </w:r>
      <w:r>
        <w:rPr>
          <w:u w:val="single"/>
        </w:rPr>
        <w:t xml:space="preserve">DEFENSE EXCLUDED.  It is not a defense to prosecution under this chapter that the person trafficked by the actor was forced to engage in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by Section 43.02;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person may not be prosecuted as provided by Section 43.02(b).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43.02, Penal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prosecuted for an offense under this section that the person committed when younger than 17 years of 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43, Penal Code, is amended by adding Section 43.07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43.07.</w:t>
      </w:r>
      <w:r>
        <w:rPr>
          <w:u w:val="single"/>
        </w:rPr>
        <w:t xml:space="preserve"> </w:t>
      </w:r>
      <w:r>
        <w:rPr>
          <w:u w:val="single"/>
        </w:rPr>
        <w:t xml:space="preserve"> </w:t>
      </w:r>
      <w:r>
        <w:rPr>
          <w:u w:val="single"/>
        </w:rPr>
        <w:t xml:space="preserve">DEFENSE EXCLUDED.  It is not a defense to prosecution under Section 43.021, 43.03, 43.031, 43.04, 43.041, or 43.05 that the person who engaged in conduct prohibited by Section 43.02 may not be prosecuted for that conduct as provided by Section 43.02(b).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or conduct that occurs on or after the effective date of this Act. An offense committed or conduct that occurs before the effective date of this Act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