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88R1430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1062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EXPANDED ELIGIBILITY FOR MEDICAL ASSISTANCE UNDER PATIENT PROTECTION AND AFFORDABLE CARE ACT.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the commission shall provide medical assistance to all individuals who apply for that assistance and for whom federal matching money is available under the Patient Protection and Affordable Care Act (Pub. L. No. 111-148), as amended by the Health Care and Education Reconciliation Act of 2010 (Pub. L. No. 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32.02472, Human Resources Code, as added by this Act, applies only to an initial determination or recertification of eligibility of an individual for medical assistance under Chapter 32, Human Resources Code, made on or after the date the section is implemented,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32.02472, Human Resources Code, as added by this Act, including notifying appropriate federal agencies of that expanded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