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88R4646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the Texas State Seal of Bilingualism and Biliteracy for public high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28, Education Code, is amended by adding Section 28.028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28.028.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STATE SEAL OF BILINGUALISM AND BILITERACY. </w:t>
      </w:r>
      <w:r>
        <w:rPr>
          <w:u w:val="single"/>
        </w:rPr>
        <w:t xml:space="preserve"> </w:t>
      </w:r>
      <w:r>
        <w:rPr>
          <w:u w:val="single"/>
        </w:rPr>
        <w:t xml:space="preserve">(a) In this section, "seal"</w:t>
      </w:r>
      <w:r>
        <w:rPr>
          <w:u w:val="single"/>
        </w:rPr>
        <w:t xml:space="preserve"> </w:t>
      </w:r>
      <w:r>
        <w:rPr>
          <w:u w:val="single"/>
        </w:rPr>
        <w:t xml:space="preserve">means the Texas State Seal of Bilingualism and Biliteracy established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 The agency shall establish a seal to recognize high school graduates who have attained a high level of proficiency in comprehending, speaking, reading, and writing in both English and a language other than English.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agency, in consultation with appropriate stakeholders,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determine minimum requirements for earning the seal, which: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sufficiently rigorous to indicate to an employer or postsecondary institution that a student who has earned the seal is biliterate;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include completion of a project, activity, or portfolio;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condition receipt of the seal on an examination created for that purpose;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prepare and deliver to each school district an insignia that can be affixed or stamped on the diploma of and adopt a designation to be included on the transcript of a student who has satisfied requirements for earning the seal.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school district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appropriate records to identify students who have earned the seal;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student who has satisfied requirements for earning the seal: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affix the seal's insignia to the student's diploma;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in the student's transcript that the student earned the seal.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adopt rules as necessary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