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88R18915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construction of certain laws prohibiting discrimination, distinctions, inducements, rebates, and certain other conduct related to property and casualty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1806, Insurance Code, is amended by adding Section 1806.002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CONSTRUCTION OF CERTAIN PROVISIONS; SERVICES RELATED TO LOSS CONTROL.  (a)  Nothing in Section 1806.053, 1806.054, 1806.059, 1806.104, 1806.1041, 1806.153, 1806.1541, or 1806.156 may be construed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permitting an unfair method of competition or a false, misleading, or deceptive act or practice under Section 17.46,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prohibiting an insurer or an insurer's agent from offering or giving to an insured or applicant, for free or at a discounted price in a manner that is not unfairly discriminatory to insureds or applicants of the same class and of essentially the same hazard, services or other offerings not specified in the insurance policy that relate to loss control of the risks covered under the policy, subject to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to the insurer or the insurer's agent offering the product or service to any given customer must be reasonable in comparison to that customer's premiums or insurance coverage for the policy class.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Other than for purposes related to loss control of risks covered under the policy, the insurer or insurer's agent offering the product or service may not provide to another person any data or other information obtained about the customer from or in connection with the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