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88R3203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1076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hiring and licensing certain persons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COMMISSIONING AND EMPLOYING CERTAIN PERSONS AS PEACE OFFICERS.  Notwithstanding any other law, a political subdivision that commissions and employs peace officers may commission and employ as a peace officer a legal permanent resident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LEGAL PERMANENT RESIDENTS.  The commission shall issue a peace officer license to a person who is a legal permanent resident of the United States if the person meets the requirements of this chapter and the commission's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 peace officer, legal permanent residence</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