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88R3359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1077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public law school in the Rio Grande Valley.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61.0905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61.0905.</w:t>
      </w:r>
      <w:r>
        <w:rPr>
          <w:u w:val="single"/>
        </w:rPr>
        <w:t xml:space="preserve"> </w:t>
      </w:r>
      <w:r>
        <w:rPr>
          <w:u w:val="single"/>
        </w:rPr>
        <w:t xml:space="preserve"> </w:t>
      </w:r>
      <w:r>
        <w:rPr>
          <w:u w:val="single"/>
        </w:rPr>
        <w:t xml:space="preserve">RIO GRANDE VALLEY SCHOOL OF LAW.  (a) </w:t>
      </w:r>
      <w:r>
        <w:rPr>
          <w:u w:val="single"/>
        </w:rPr>
        <w:t xml:space="preserve"> </w:t>
      </w:r>
      <w:r>
        <w:rPr>
          <w:u w:val="single"/>
        </w:rPr>
        <w:t xml:space="preserve">The governing board of a university system may establish and operate, as a professional school of the system, a school of law in Cameron County or Hidalgo County as the governing board considers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administering the law school, the governing board may prescribe courses leading to customary degrees offered at other leading American schools of law and may award those degrees.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board may assign responsibility for the management of the law school to a general academic teaching institution in the university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board may accept and administer gifts and grants from any public or private person or entity for the use and benefit of the law school. </w:t>
      </w:r>
      <w:r>
        <w:rPr>
          <w:u w:val="single"/>
        </w:rPr>
        <w:t xml:space="preserve"> </w:t>
      </w:r>
      <w:r>
        <w:rPr>
          <w:u w:val="single"/>
        </w:rPr>
        <w:t xml:space="preserve">Notwithstanding any other provision of this section, establishment of a law school under this section is subject to the availability of funding, either through appropriation or from another source.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governing board of a university system that intends to establish a law school under this section shall notify the Texas Higher Education Coordinating Board. If the coordinating board receives notification under this subsection from more than one governing board, the coordinating board shall determine which of those governing boards may establish a law school under this section. </w:t>
      </w:r>
      <w:r>
        <w:rPr>
          <w:u w:val="single"/>
        </w:rPr>
        <w:t xml:space="preserve"> </w:t>
      </w:r>
      <w:r>
        <w:rPr>
          <w:u w:val="single"/>
        </w:rPr>
        <w:t xml:space="preserve">The coordinating board must base the determination on the need for a law school in a geographic area, potential student demand, available system resources, the feasibility of the specific proposal of each system, and other criteria the coordinating board considers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the governing board establishes a law school under this section, the governing board shall request the coordinating board to prepare a feasibility study to determine the actions the system must take to obtain accreditation of the law school.  The coordinating board shall deliver a copy of the study to the governing board and to the chair of each legislative standing committee with jurisdiction over higher education.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 the purposes of Section 61.0905, Education Code, as added by this Act, no state funds may be appropriated for a state fiscal biennium ending on or before August 31, 2029.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