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88R16352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petition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262.101, Family Code, is amended to read as follows:</w:t>
      </w:r>
    </w:p>
    <w:p w:rsidR="003F3435" w:rsidRDefault="0032493E">
      <w:pPr>
        <w:spacing w:line="480" w:lineRule="auto"/>
        <w:ind w:firstLine="720"/>
        <w:jc w:val="both"/>
      </w:pPr>
      <w:r>
        <w:t xml:space="preserve">Sec.</w:t>
      </w:r>
      <w:r xml:space="preserve">
        <w:t> </w:t>
      </w:r>
      <w:r>
        <w:t xml:space="preserve">262.101.</w:t>
      </w:r>
      <w:r xml:space="preserve">
        <w:t> </w:t>
      </w:r>
      <w:r xml:space="preserve">
        <w:t> </w:t>
      </w:r>
      <w:r>
        <w:t xml:space="preserve">FILING PETITION BEFORE TAKING POSSESSION OF CHILD.  </w:t>
      </w:r>
      <w:r>
        <w:rPr>
          <w:u w:val="single"/>
        </w:rPr>
        <w:t xml:space="preserve">(a)</w:t>
      </w:r>
      <w:r>
        <w:t xml:space="preserve">  An original suit filed by a governmental entity that requests permission to take possession of a child without prior notice and a hearing must be supported by an affidavit sworn to by a person with personal knowledge and stating facts sufficient to satisfy a person of ordinary prudence and caution that:</w:t>
      </w:r>
    </w:p>
    <w:p w:rsidR="003F3435" w:rsidRDefault="0032493E">
      <w:pPr>
        <w:spacing w:line="480" w:lineRule="auto"/>
        <w:ind w:firstLine="1440"/>
        <w:jc w:val="both"/>
      </w:pPr>
      <w:r>
        <w:t xml:space="preserve">(1)</w:t>
      </w:r>
      <w:r xml:space="preserve">
        <w:t> </w:t>
      </w:r>
      <w:r xml:space="preserve">
        <w:t> </w:t>
      </w:r>
      <w: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t xml:space="preserve">(2)</w:t>
      </w:r>
      <w:r xml:space="preserve">
        <w:t> </w:t>
      </w:r>
      <w:r xml:space="preserve">
        <w:t> </w:t>
      </w:r>
      <w:r>
        <w:t xml:space="preserve">continuation in the home would be contrary to the child's welfare;</w:t>
      </w:r>
    </w:p>
    <w:p w:rsidR="003F3435" w:rsidRDefault="0032493E">
      <w:pPr>
        <w:spacing w:line="480" w:lineRule="auto"/>
        <w:ind w:firstLine="1440"/>
        <w:jc w:val="both"/>
      </w:pPr>
      <w:r>
        <w:t xml:space="preserve">(3)</w:t>
      </w:r>
      <w:r xml:space="preserve">
        <w:t> </w:t>
      </w:r>
      <w:r xml:space="preserve">
        <w:t> </w:t>
      </w:r>
      <w:r>
        <w:t xml:space="preserve">there is no time, consistent with the physical health or safety of the child, for a full adversary hearing under Subchapter C; and</w:t>
      </w:r>
    </w:p>
    <w:p w:rsidR="003F3435" w:rsidRDefault="0032493E">
      <w:pPr>
        <w:spacing w:line="480" w:lineRule="auto"/>
        <w:ind w:firstLine="1440"/>
        <w:jc w:val="both"/>
      </w:pPr>
      <w:r>
        <w:t xml:space="preserve">(4)</w:t>
      </w:r>
      <w:r xml:space="preserve">
        <w:t> </w:t>
      </w:r>
      <w:r xml:space="preserve">
        <w:t> </w:t>
      </w:r>
      <w:r>
        <w:t xml:space="preserve">reasonable efforts, consistent with the circumstances and providing for the safety of the child, were made to prevent or eliminate the need for the removal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affidavit required by Subsection (a)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262.102,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temporary order, temporary restraining order, or attachment of a child rendered by the court under Subsection (a) must describe the reasonable efforts, consistent with the circumstances and providing for the safety of the child, that were made to prevent or eliminate the need for the removal of the child as required by Subsection (a)(4).</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262.105,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required by Subsection (b) must describe all reasonable efforts, consistent with the circumstances and providing for the safety of the child, that were made to prevent or eliminate the need for the removal of the child.</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262.107, Family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does not order the return of the child at an initial hearing under Subsection (a), the court must describe in writing the reasonable efforts, consistent with the circumstances and providing for the safety of the child, that were made to prevent or eliminate the need for the removal of the child.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262.201, Family Code, is amended by adding Subsection (g-2) to read as follows:</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If, at the conclusion of a full adversary hearing, the court renders an order under Subsection (g) or (g-1), the court must describe in writing: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reasonable efforts that were made to enable the child to return home and the substantial risk of a continuing danger if the child is returned home, as required by Subsection (g)(3);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efforts that were made to enable a person's possession of the child and the continuing danger to the physical health or safety of the child as required by Subsection (g-1)(2).</w:t>
      </w:r>
      <w:r>
        <w:t xml:space="preserve"> </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to a suit affecting the parent-child relationship filed on or after the effective date of this Act.  A suit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