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88R16352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1087:</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1087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petition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temporary order, temporary restraining order, or attachment of a child rendered by the court under Subsection (a) must describe the reasonable efforts, consistent with the circumstances and providing for the safety of the child, that were made to prevent or eliminate the need for the removal of the child as required by Subsection (a)(4).</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262.105,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does not order the return of the child at an initial hearing under Subsection (a), the court must describe in writing the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262.201, Family Code, is amended by adding Subsection (g-2) to read as follows:</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If, at the conclusion of a full adversary hearing, the court renders an order under Subsection (g) or (g-1), the court must describe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efforts that were made to enable a person's possession of the child and the continuing danger to the physical health or safety of the child as required by Subsection (g-1)(2).</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