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1087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State Affairs;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contents of a petition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262.101, Family Code, is amended to read as follows:</w:t>
      </w:r>
    </w:p>
    <w:p w:rsidR="003F3435" w:rsidRDefault="0032493E">
      <w:pPr>
        <w:spacing w:line="480" w:lineRule="auto"/>
        <w:ind w:firstLine="720"/>
        <w:jc w:val="both"/>
      </w:pPr>
      <w:r>
        <w:t xml:space="preserve">Sec.</w:t>
      </w:r>
      <w:r xml:space="preserve">
        <w:t> </w:t>
      </w:r>
      <w:r>
        <w:t xml:space="preserve">262.101.</w:t>
      </w:r>
      <w:r xml:space="preserve">
        <w:t> </w:t>
      </w:r>
      <w:r xml:space="preserve">
        <w:t> </w:t>
      </w:r>
      <w:r>
        <w:t xml:space="preserve">FILING PETITION BEFORE TAKING POSSESSION OF CHILD.  </w:t>
      </w:r>
      <w:r>
        <w:rPr>
          <w:u w:val="single"/>
        </w:rPr>
        <w:t xml:space="preserve">(a)</w:t>
      </w:r>
      <w:r>
        <w:t xml:space="preserve">  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 and</w:t>
      </w:r>
    </w:p>
    <w:p w:rsidR="003F3435" w:rsidRDefault="0032493E">
      <w:pPr>
        <w:spacing w:line="480" w:lineRule="auto"/>
        <w:ind w:firstLine="1440"/>
        <w:jc w:val="both"/>
      </w:pPr>
      <w:r>
        <w:t xml:space="preserve">(4)</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affidavit required by Subsection (a) must describe all reasonable efforts, consistent with the circumstances and providing for the safety of the child,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262.102, Family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temporary order, temporary restraining order, or attachment of a child rendered by the court under Subsection (a) must describe the reasonable efforts, consistent with the circumstances and providing for the safety of the child, that were made to prevent or eliminate the need for the removal of the child as required by Subsection (a)(4).</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262.105,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required by Subsection (b) must describe all reasonable efforts, consistent with the circumstances and providing for the safety of the child,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262.107,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does not order the return of the child at an initial hearing under Subsection (a), the court must describe in writing the reasonable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262.201, Family Code, is amended by adding Subsection (g-2) to read as follows:</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If, at the conclusion of a full adversary hearing, the court renders an order under Subsection (g) or (g-1), the court must describe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reasonable efforts that were made to enable the child to return home and the substantial risk of a continuing danger if the child is returned home, as required by Subsection (g)(3);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reasonable efforts that were made to enable a person's possession of the child and the continuing danger to the physical health or safety of the child as required by Subsection (g-1)(2).</w:t>
      </w:r>
      <w:r>
        <w:t xml:space="preserve"> </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to a suit affecting the parent-child relationship filed on or after the effective date of this Act.  A suit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