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88R21195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 Patterson, Lalani,</w:t>
      </w:r>
      <w:r xml:space="preserve">
        <w:tab wTab="150" tlc="none" cTlc="0"/>
      </w:r>
      <w:r>
        <w:t xml:space="preserve">H.B.</w:t>
      </w:r>
      <w:r xml:space="preserve">
        <w:t> </w:t>
      </w:r>
      <w:r>
        <w:t xml:space="preserve">No.</w:t>
      </w:r>
      <w:r xml:space="preserve">
        <w:t> </w:t>
      </w:r>
      <w:r>
        <w:t xml:space="preserve">1100</w:t>
      </w:r>
    </w:p>
    <w:p w:rsidR="003F3435" w:rsidRDefault="0032493E">
      <w:pPr>
        <w:jc w:val="both"/>
      </w:pPr>
      <w:r xml:space="preserve">
        <w:t> </w:t>
      </w:r>
      <w:r xml:space="preserve">
        <w:t> </w:t>
      </w:r>
      <w:r xml:space="preserve">
        <w:t> </w:t>
      </w:r>
      <w:r xml:space="preserve">
        <w:t> </w:t>
      </w:r>
      <w:r xml:space="preserve">
        <w:t> </w:t>
      </w:r>
      <w:r>
        <w:t xml:space="preserve">Shaheen</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1100:</w:t>
      </w:r>
    </w:p>
    <w:p w:rsidR="003F3435" w:rsidRDefault="0032493E">
      <w:pPr>
        <w:spacing w:line="480" w:lineRule="auto"/>
        <w:jc w:val="both"/>
        <w:tabs>
          <w:tab w:val="right" w:leader="none" w:pos="9350"/>
        </w:tabs>
      </w:pPr>
      <w:r>
        <w:t xml:space="preserve">By:</w:t>
      </w:r>
      <w:r xml:space="preserve">
        <w:t> </w:t>
      </w:r>
      <w:r xml:space="preserve">
        <w:t> </w:t>
      </w:r>
      <w:r>
        <w:t xml:space="preserve">Rose</w:t>
      </w:r>
      <w:r xml:space="preserve">
        <w:tab wTab="150" tlc="none" cTlc="0"/>
      </w:r>
      <w:r>
        <w:t xml:space="preserve">C.S.H.B.</w:t>
      </w:r>
      <w:r xml:space="preserve">
        <w:t> </w:t>
      </w:r>
      <w:r>
        <w:t xml:space="preserve">No.</w:t>
      </w:r>
      <w:r xml:space="preserve">
        <w:t> </w:t>
      </w:r>
      <w:r>
        <w:t xml:space="preserve">1100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certain senior retirement communities.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8, Property Code, is amended by adding Chapter 95 to read as follows:</w:t>
      </w:r>
    </w:p>
    <w:p w:rsidR="003F3435" w:rsidRDefault="0032493E">
      <w:pPr>
        <w:spacing w:line="480" w:lineRule="auto"/>
        <w:jc w:val="center"/>
      </w:pPr>
      <w:r>
        <w:rPr>
          <w:u w:val="single"/>
        </w:rPr>
        <w:t xml:space="preserve">CHAPTER 95. </w:t>
      </w:r>
      <w:r>
        <w:rPr>
          <w:u w:val="single"/>
        </w:rPr>
        <w:t xml:space="preserve"> </w:t>
      </w:r>
      <w:r>
        <w:rPr>
          <w:u w:val="single"/>
        </w:rPr>
        <w:t xml:space="preserve">SENIOR RETIREMENT COMMUNITIES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95.001.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"Common amenity" means an amenity or service offered or provided to residents of a multiunit residential property,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concierge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library;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common dining services;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housekeeping services;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full-time security.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"Resident" means an individual who resides in a senior retirement community as a unit owner or tenant.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"Senior retirement community" means a residential community or a portion of a residential community: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described by Section 301.043;</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contains not fewer than 20 residential units in one or more multiunit buildings that are available to rent or lease;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provides common amenities.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"Senior retirement community contract" means a contract with a resident of a senior retirement community for providing a common amenity to the resident.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"Unit" means a physical portion of a residential property designated for separate ownership or occupancy.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95.002.</w:t>
      </w:r>
      <w:r>
        <w:rPr>
          <w:u w:val="single"/>
        </w:rPr>
        <w:t xml:space="preserve"> </w:t>
      </w:r>
      <w:r>
        <w:rPr>
          <w:u w:val="single"/>
        </w:rPr>
        <w:t xml:space="preserve"> </w:t>
      </w:r>
      <w:r>
        <w:rPr>
          <w:u w:val="single"/>
        </w:rPr>
        <w:t xml:space="preserve">EXEMPTIONS.  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health care institution as defined by Section 74.001, Civil Practice and Remedies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boarding home facility as defined by Section 260.001, Health and Safety Code, that holds a permit issued under Chapter 260,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supportive housing facility for elderly individuals operated under Section 202, the National Housing Act (12 U.S.C. Section 1701q);</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center for independent living as defined by Section 702 of the federal Rehabilitation Act of 1973 (29 U.S.C. Section 796a);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facility that is regulated by the Health and Human Services Commission or in accordance with rules adopted by the Centers for Medicare and Medicaid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95.003.</w:t>
      </w:r>
      <w:r>
        <w:rPr>
          <w:u w:val="single"/>
        </w:rPr>
        <w:t xml:space="preserve"> </w:t>
      </w:r>
      <w:r>
        <w:rPr>
          <w:u w:val="single"/>
        </w:rPr>
        <w:t xml:space="preserve"> </w:t>
      </w:r>
      <w:r>
        <w:rPr>
          <w:u w:val="single"/>
        </w:rPr>
        <w:t xml:space="preserve">REQUIREMENTS RELATING TO RESIDENT SAFETY FROM CRIMINAL ACTIVITY.  (a) </w:t>
      </w:r>
      <w:r>
        <w:rPr>
          <w:u w:val="single"/>
        </w:rPr>
        <w:t xml:space="preserve"> </w:t>
      </w:r>
      <w:r>
        <w:rPr>
          <w:u w:val="single"/>
        </w:rPr>
        <w:t xml:space="preserve">A senior retirement community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for each retirement community employee a criminal history record check using the computerized criminal history system maintained by the Department of Public Safety of the State of Texas;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disclose in the senior retirement community contract whether the retirement community requires each business that will provide services at the retirement community to conduct a criminal history record check of each of the business's employees who will provide services at the retirement community;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maintain a resident safety and communications policy regarding criminal activity that poses a risk to residents, which must require the retirement community to send to each resident and post in a conspicuous manner at a location on the retirement community premises where the retirement community posts other community notices a written notice containing information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known reports of potential criminal activity made to law enforcement from or at the retirement community not later than two business days after the date the report is made or activity occurs;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known instances of trespassing at the retirement community not later than two business days after the trespassing is reported or occurs.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providing notice under the policy adopted by a senior retirement community under Subsection (a)(3) relating to a reportable incident described by that subdivision, the retirement community: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provide for the removal of the personal identifying information of an individual who is involved in the reportable incident to prevent the individual's identification;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refuse to provide the notice based solely on concerns related to the disclosure of the individual's personal identifying information.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senior retirement community may not be held civilly or criminally liable for the retirement community's compliance with Subsection (a)(1) or (3).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senior retirement community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prevent or inhibit a resident from or penalize a resident for communicating with a law enforcement officer, social worker, family member, or other interested person regarding the safety and security of the retirement community;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prevent a law enforcement officer or court officer from entering a common area of the retirement community to conduct a voluntary interview with a resident as part of an investigation into criminal activity at the retirement community.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95.004.</w:t>
      </w:r>
      <w:r>
        <w:rPr>
          <w:u w:val="single"/>
        </w:rPr>
        <w:t xml:space="preserve"> </w:t>
      </w:r>
      <w:r>
        <w:rPr>
          <w:u w:val="single"/>
        </w:rPr>
        <w:t xml:space="preserve"> </w:t>
      </w:r>
      <w:r>
        <w:rPr>
          <w:u w:val="single"/>
        </w:rPr>
        <w:t xml:space="preserve">PROHIBITED AGREEMENT OR CONTRACT PROVISIONS.  A lease, rental, or purchase agreement for a residential unit in a senior retirement community or a senior retirement community contract with a resident may not include a provision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waives liability in an action brought under Section 95.005;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arbitration of a dispute related to liability under Section 95.005;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controls the content or execution of the resident's advance directive or testamentary documents.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95.005.</w:t>
      </w:r>
      <w:r>
        <w:rPr>
          <w:u w:val="single"/>
        </w:rPr>
        <w:t xml:space="preserve"> </w:t>
      </w:r>
      <w:r>
        <w:rPr>
          <w:u w:val="single"/>
        </w:rPr>
        <w:t xml:space="preserve"> </w:t>
      </w:r>
      <w:r>
        <w:rPr>
          <w:u w:val="single"/>
        </w:rPr>
        <w:t xml:space="preserve">CIVIL LIABILITY.  (a) </w:t>
      </w:r>
      <w:r>
        <w:rPr>
          <w:u w:val="single"/>
        </w:rPr>
        <w:t xml:space="preserve"> </w:t>
      </w:r>
      <w:r>
        <w:rPr>
          <w:u w:val="single"/>
        </w:rPr>
        <w:t xml:space="preserve">A senior retirement community is liable to a resident for actual damages incurred from a violation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Chapter 74, Civil Practice and Remedies Code, does not apply to an action brought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95.006.</w:t>
      </w:r>
      <w:r>
        <w:rPr>
          <w:u w:val="single"/>
        </w:rPr>
        <w:t xml:space="preserve"> </w:t>
      </w:r>
      <w:r>
        <w:rPr>
          <w:u w:val="single"/>
        </w:rPr>
        <w:t xml:space="preserve"> </w:t>
      </w:r>
      <w:r>
        <w:rPr>
          <w:u w:val="single"/>
        </w:rPr>
        <w:t xml:space="preserve">CUMULATIVE REMEDIES.  The remedies provided by this chapter are not exclusive and are in addition to any other remedy provided by law, including a remedy provided for a tenant against a landlord under this title, as applicable.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Section 95.004, Property Code, as added by this Act, applies only to an agreement or contract entered into or renewed on or after the effective date of this Act.</w:t>
      </w:r>
    </w:p>
    <w:p w:rsidR="003F3435" w:rsidRDefault="0032493E">
      <w:pPr>
        <w:spacing w:line="480" w:lineRule="auto"/>
        <w:ind w:firstLine="720"/>
        <w:jc w:val="both"/>
      </w:pPr>
      <w:r>
        <w:t xml:space="preserve">(b)</w:t>
      </w:r>
      <w:r xml:space="preserve">
        <w:t> </w:t>
      </w:r>
      <w:r xml:space="preserve">
        <w:t> </w:t>
      </w:r>
      <w:r>
        <w:t xml:space="preserve">Section 95.005, Property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1100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