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88R3489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1107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adjustment to the basic allotment under the Foundation School Program to reflect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 Education Code,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$6,500</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$6,500</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(a-3), beginning with the 2024-2025 school year, the basic allotment provided to a district under Subsection (a) or (b) is adjusted annually to increase the allotment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percent of the amount of the allotment for the preceding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that results from applying the inflation rate, as determined by the comptroller on the basis of changes in the Consumer Price Index for All Urban Consumers published by the Bureau of Labor Statistics of the United States Department of Labor, to the allotment for the preceding school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inflation rate for a school year is less than zero, the inflation rate to be used for purposes of Subsection (a-1) is zero.</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legislature in the General Appropriations Act may provide for a lesser amount than the amount determined under Subsection (a-1), provided that the amount is equal to or greater than the amount provided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$6,500</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$6,500</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