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88R3810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low-interest loan program for entrepreneurs with physical or mental disabilities.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Labor Code, is amended by adding Subtitle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D. ENTREPRENEURSHIP LOANS FOR PERSONS WITH DISABILITIES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375. ENTREPRENEURSHIP LOANS FOR PERSONS WITH DISABILITIES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ENTREPRENEURSHIP LOANS FOR PERSONS WITH DISABILITIES.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"Commission" means the Texas Workforce Commission.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"Disability" means, with respect to an individual, a mental or physical impairment that substantially limits at least one major life activity of that individual.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and administer a low-interest loan program to support entrepreneurship among persons with physical and mental disabilities.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solicit and accept gifts, grants, and donations from public and private entities to use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as necessary to establish and administer the loan program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Texas Workforce Commission shall adopt rules necessary to implement Chapter 375, Labor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