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Spiller, Harless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Flores)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1133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10,</w:t>
      </w:r>
      <w:r xml:space="preserve">
        <w:t> </w:t>
      </w:r>
      <w:r>
        <w:t xml:space="preserve">2023;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an exemption from the application of the Private Security Act for volunteer security services provided at certain places or events.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1702.333,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1702.333.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PLACE OF RELIGIOUS WORSHIP;</w:t>
      </w:r>
      <w:r>
        <w:t xml:space="preserve">] CERTAIN VOLUNTEERS.  (a)  In this section, "volunteer security services" means services or activities that are: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regulated under this 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provided without compensation or remuneration.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does not apply to a person who is providing volunteer security services 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premises of a church, synagogue, or other established place of religious worship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premises where an event sponsored or sanctioned by a public primary or secondary school is taking place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(d), while</w:t>
      </w:r>
      <w:r>
        <w:t xml:space="preserve"> [</w:t>
      </w:r>
      <w:r>
        <w:rPr>
          <w:strike/>
        </w:rPr>
        <w:t xml:space="preserve">While</w:t>
      </w:r>
      <w:r>
        <w:t xml:space="preserve">] providing volunteer security services under Subsection (b), a person may not wear a uniform or badge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contains the word "security";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gives the person the appearance of being a peace officer, personal protection officer, or security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providing volunteer security services under Subsection (b)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the consent of the head of the employing or appointing law enforcement agency, wear the uniform of the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wear another uniform or badge that gives the person the appearance of being a peace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for or payment of an insurance policy insuring a peace officer who provides volunteer security services under Subsection (b) for civil liability arising from acts occurring while providing those services is not considered compensation or reimbursement.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