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88R3914 JON-D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confirmation of a voter's residence by a voter registrar.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15.051(a),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If the registrar has reason to believe that a voter's current residence is different from that indicated on the registration records, or that the voter's residence address is a commercial post office box or similar location that does not correspond to a residence, the</w:t>
      </w:r>
      <w:r>
        <w:t xml:space="preserve">] registrar shall deliver to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voter a written confirmation notice requesting confirmation of the voter's current residence </w:t>
      </w:r>
      <w:r>
        <w:rPr>
          <w:u w:val="single"/>
        </w:rPr>
        <w:t xml:space="preserve">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residence address is a commercial post office box or similar location that does not correspond to a residence;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November 30 following a general election: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name is not on the suspense list;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 has not voted in any election during the previous 25 months;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registrar has any other reason to believe that a voter's current residence is different from that indicated on the registration records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